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9B033" w14:textId="4C7C6EFD" w:rsidR="00F94105" w:rsidRPr="009A223A" w:rsidRDefault="00F94105" w:rsidP="00F94105">
      <w:pPr>
        <w:rPr>
          <w:rFonts w:ascii="Calibri" w:hAnsi="Calibri" w:cs="Calibri"/>
        </w:rPr>
      </w:pPr>
      <w:r>
        <w:rPr>
          <w:rFonts w:ascii="Calibri" w:hAnsi="Calibri" w:cs="Calibri"/>
          <w:b/>
          <w:bCs/>
        </w:rPr>
        <w:t>Provisioning</w:t>
      </w:r>
      <w:bookmarkStart w:id="0" w:name="_Hlk170301613"/>
      <w:r>
        <w:rPr>
          <w:rFonts w:ascii="Calibri" w:hAnsi="Calibri" w:cs="Calibri"/>
          <w:b/>
          <w:bCs/>
        </w:rPr>
        <w:t xml:space="preserve">/ </w:t>
      </w:r>
      <w:r w:rsidRPr="00F94105">
        <w:rPr>
          <w:rFonts w:ascii="Calibri" w:hAnsi="Calibri" w:cs="Calibri"/>
          <w:b/>
          <w:bCs/>
        </w:rPr>
        <w:t>Expected credit loss (ECL):</w:t>
      </w:r>
      <w:r>
        <w:rPr>
          <w:rFonts w:ascii="Calibri" w:hAnsi="Calibri" w:cs="Calibri"/>
          <w:b/>
          <w:bCs/>
        </w:rPr>
        <w:t xml:space="preserve"> (Protean e-gov)</w:t>
      </w:r>
    </w:p>
    <w:p w14:paraId="0EB954AC" w14:textId="6C5B6CC6" w:rsidR="00F94105" w:rsidRPr="009A223A" w:rsidRDefault="00536EDE" w:rsidP="00F94105">
      <w:pPr>
        <w:rPr>
          <w:rFonts w:ascii="Calibri" w:hAnsi="Calibri" w:cs="Calibri"/>
        </w:rPr>
      </w:pPr>
      <w:r w:rsidRPr="00907D19">
        <w:rPr>
          <w:rFonts w:ascii="Calibri" w:hAnsi="Calibri" w:cs="Calibri"/>
          <w:b/>
          <w:bCs/>
        </w:rPr>
        <w:t>ECL:</w:t>
      </w:r>
      <w:r>
        <w:rPr>
          <w:rFonts w:ascii="Calibri" w:hAnsi="Calibri" w:cs="Calibri"/>
        </w:rPr>
        <w:t xml:space="preserve"> </w:t>
      </w:r>
      <w:r w:rsidR="00F94105" w:rsidRPr="009A223A">
        <w:rPr>
          <w:rFonts w:ascii="Calibri" w:hAnsi="Calibri" w:cs="Calibri"/>
        </w:rPr>
        <w:t>The Group assigns a risk grade to each credit exposure based on predictive data (e.g., payment timeliness, time value of money) and expert judgment. It monitors the economic environment to estimate expected credit losses. At each reporting period's end, the Group reviews customer exposures to determine incurred and expected credit losses, considering disputed or litigated dues. Historical trends show minimal credit losses, which are expected to continue. For tax authority receivables, expected credit loss allowances are based on the time value of money and management's assessment. For major clients, provisions are made based on management's assessment of recoverability.</w:t>
      </w:r>
    </w:p>
    <w:p w14:paraId="76F1F5AD" w14:textId="77777777" w:rsidR="00F94105" w:rsidRDefault="00F94105" w:rsidP="00F94105">
      <w:pPr>
        <w:rPr>
          <w:rFonts w:ascii="Calibri" w:hAnsi="Calibri" w:cs="Calibri"/>
          <w:u w:val="single"/>
        </w:rPr>
      </w:pPr>
      <w:r>
        <w:rPr>
          <w:rFonts w:ascii="Calibri" w:hAnsi="Calibri" w:cs="Calibri"/>
          <w:u w:val="single"/>
        </w:rPr>
        <w:t>AR’23</w:t>
      </w:r>
    </w:p>
    <w:p w14:paraId="3B6AE17B" w14:textId="77777777" w:rsidR="00F94105" w:rsidRPr="007C7FCC" w:rsidRDefault="00F94105" w:rsidP="00F94105">
      <w:pPr>
        <w:rPr>
          <w:rFonts w:ascii="Calibri" w:hAnsi="Calibri" w:cs="Calibri"/>
          <w:u w:val="single"/>
        </w:rPr>
      </w:pPr>
      <w:r w:rsidRPr="0096100F">
        <w:rPr>
          <w:rFonts w:ascii="Calibri" w:hAnsi="Calibri" w:cs="Calibri"/>
          <w:u w:val="single"/>
        </w:rPr>
        <w:drawing>
          <wp:inline distT="0" distB="0" distL="0" distR="0" wp14:anchorId="5C8D57C3" wp14:editId="515C494A">
            <wp:extent cx="6651530" cy="1402080"/>
            <wp:effectExtent l="19050" t="19050" r="16510" b="26670"/>
            <wp:docPr id="72662345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623452" name="Picture 1" descr="A screenshot of a computer&#10;&#10;Description automatically generated"/>
                    <pic:cNvPicPr/>
                  </pic:nvPicPr>
                  <pic:blipFill>
                    <a:blip r:embed="rId4"/>
                    <a:stretch>
                      <a:fillRect/>
                    </a:stretch>
                  </pic:blipFill>
                  <pic:spPr>
                    <a:xfrm>
                      <a:off x="0" y="0"/>
                      <a:ext cx="6655854" cy="1402992"/>
                    </a:xfrm>
                    <a:prstGeom prst="rect">
                      <a:avLst/>
                    </a:prstGeom>
                    <a:ln w="3175">
                      <a:solidFill>
                        <a:schemeClr val="tx1"/>
                      </a:solidFill>
                    </a:ln>
                  </pic:spPr>
                </pic:pic>
              </a:graphicData>
            </a:graphic>
          </wp:inline>
        </w:drawing>
      </w:r>
    </w:p>
    <w:bookmarkEnd w:id="0"/>
    <w:p w14:paraId="0E590839" w14:textId="77777777" w:rsidR="00F94105" w:rsidRDefault="00F94105" w:rsidP="00F94105">
      <w:pPr>
        <w:rPr>
          <w:rFonts w:ascii="Calibri" w:hAnsi="Calibri" w:cs="Calibri"/>
        </w:rPr>
      </w:pPr>
      <w:r w:rsidRPr="00ED47A2">
        <w:rPr>
          <w:rFonts w:ascii="Calibri" w:hAnsi="Calibri" w:cs="Calibri"/>
        </w:rPr>
        <w:drawing>
          <wp:inline distT="0" distB="0" distL="0" distR="0" wp14:anchorId="26A8AE5E" wp14:editId="7D8F8C73">
            <wp:extent cx="6743555" cy="1310640"/>
            <wp:effectExtent l="19050" t="19050" r="19685" b="22860"/>
            <wp:docPr id="803922274" name="Picture 1" descr="A screenshot of a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922274" name="Picture 1" descr="A screenshot of a form&#10;&#10;Description automatically generated"/>
                    <pic:cNvPicPr/>
                  </pic:nvPicPr>
                  <pic:blipFill>
                    <a:blip r:embed="rId5"/>
                    <a:stretch>
                      <a:fillRect/>
                    </a:stretch>
                  </pic:blipFill>
                  <pic:spPr>
                    <a:xfrm>
                      <a:off x="0" y="0"/>
                      <a:ext cx="6743555" cy="1310640"/>
                    </a:xfrm>
                    <a:prstGeom prst="rect">
                      <a:avLst/>
                    </a:prstGeom>
                    <a:ln w="3175">
                      <a:solidFill>
                        <a:schemeClr val="tx1"/>
                      </a:solidFill>
                    </a:ln>
                  </pic:spPr>
                </pic:pic>
              </a:graphicData>
            </a:graphic>
          </wp:inline>
        </w:drawing>
      </w:r>
    </w:p>
    <w:p w14:paraId="089D32B3" w14:textId="77777777" w:rsidR="00F94105" w:rsidRPr="00F711C0" w:rsidRDefault="00F94105" w:rsidP="00F94105">
      <w:pPr>
        <w:rPr>
          <w:rFonts w:ascii="Calibri" w:hAnsi="Calibri" w:cs="Calibri"/>
        </w:rPr>
      </w:pPr>
      <w:r w:rsidRPr="00F711C0">
        <w:rPr>
          <w:rFonts w:ascii="Calibri" w:hAnsi="Calibri" w:cs="Calibri"/>
        </w:rPr>
        <w:t xml:space="preserve">An amount of 92 Crore is receivable as </w:t>
      </w:r>
      <w:proofErr w:type="gramStart"/>
      <w:r w:rsidRPr="00F711C0">
        <w:rPr>
          <w:rFonts w:ascii="Calibri" w:hAnsi="Calibri" w:cs="Calibri"/>
        </w:rPr>
        <w:t>at</w:t>
      </w:r>
      <w:proofErr w:type="gramEnd"/>
      <w:r w:rsidRPr="00F711C0">
        <w:rPr>
          <w:rFonts w:ascii="Calibri" w:hAnsi="Calibri" w:cs="Calibri"/>
        </w:rPr>
        <w:t xml:space="preserve"> 31 March 2023 from Income Tax Department (ITD) towards physical</w:t>
      </w:r>
      <w:r>
        <w:rPr>
          <w:rFonts w:ascii="Calibri" w:hAnsi="Calibri" w:cs="Calibri"/>
        </w:rPr>
        <w:t xml:space="preserve"> </w:t>
      </w:r>
      <w:r w:rsidRPr="00F711C0">
        <w:rPr>
          <w:rFonts w:ascii="Calibri" w:hAnsi="Calibri" w:cs="Calibri"/>
        </w:rPr>
        <w:t>storage of PAN applications (` 59 Crore) and towards NJRS project (software development, support and maintenance</w:t>
      </w:r>
      <w:r>
        <w:rPr>
          <w:rFonts w:ascii="Calibri" w:hAnsi="Calibri" w:cs="Calibri"/>
        </w:rPr>
        <w:t xml:space="preserve"> </w:t>
      </w:r>
      <w:r w:rsidRPr="00F711C0">
        <w:rPr>
          <w:rFonts w:ascii="Calibri" w:hAnsi="Calibri" w:cs="Calibri"/>
        </w:rPr>
        <w:t>services) (` 33 Crore), of which ` 45 Crore is outstanding for more than 3 years. Approval for release of payments</w:t>
      </w:r>
      <w:r>
        <w:rPr>
          <w:rFonts w:ascii="Calibri" w:hAnsi="Calibri" w:cs="Calibri"/>
        </w:rPr>
        <w:t xml:space="preserve"> </w:t>
      </w:r>
      <w:r w:rsidRPr="00F711C0">
        <w:rPr>
          <w:rFonts w:ascii="Calibri" w:hAnsi="Calibri" w:cs="Calibri"/>
        </w:rPr>
        <w:t xml:space="preserve">towards storage is under process. For NJRS payments, ITD has recently engaged </w:t>
      </w:r>
      <w:proofErr w:type="gramStart"/>
      <w:r w:rsidRPr="00F711C0">
        <w:rPr>
          <w:rFonts w:ascii="Calibri" w:hAnsi="Calibri" w:cs="Calibri"/>
        </w:rPr>
        <w:t>National</w:t>
      </w:r>
      <w:proofErr w:type="gramEnd"/>
      <w:r w:rsidRPr="00F711C0">
        <w:rPr>
          <w:rFonts w:ascii="Calibri" w:hAnsi="Calibri" w:cs="Calibri"/>
        </w:rPr>
        <w:t xml:space="preserve"> Institute of Smart</w:t>
      </w:r>
      <w:r>
        <w:rPr>
          <w:rFonts w:ascii="Calibri" w:hAnsi="Calibri" w:cs="Calibri"/>
        </w:rPr>
        <w:t xml:space="preserve"> </w:t>
      </w:r>
      <w:r w:rsidRPr="00F711C0">
        <w:rPr>
          <w:rFonts w:ascii="Calibri" w:hAnsi="Calibri" w:cs="Calibri"/>
        </w:rPr>
        <w:t>Governance (NISG) for verification of SLAs which is in progress.</w:t>
      </w:r>
    </w:p>
    <w:p w14:paraId="11AEB527" w14:textId="77777777" w:rsidR="00F94105" w:rsidRDefault="00F94105" w:rsidP="00F94105">
      <w:pPr>
        <w:rPr>
          <w:rFonts w:ascii="Calibri" w:hAnsi="Calibri" w:cs="Calibri"/>
        </w:rPr>
      </w:pPr>
      <w:r w:rsidRPr="00F711C0">
        <w:rPr>
          <w:rFonts w:ascii="Calibri" w:hAnsi="Calibri" w:cs="Calibri"/>
        </w:rPr>
        <w:t>Based on the expected credit loss model followed as per Ind AS 109 ‘Financial Instruments’, the company has</w:t>
      </w:r>
      <w:r>
        <w:rPr>
          <w:rFonts w:ascii="Calibri" w:hAnsi="Calibri" w:cs="Calibri"/>
        </w:rPr>
        <w:t xml:space="preserve"> </w:t>
      </w:r>
      <w:r w:rsidRPr="00F711C0">
        <w:rPr>
          <w:rFonts w:ascii="Calibri" w:hAnsi="Calibri" w:cs="Calibri"/>
        </w:rPr>
        <w:t>recognized provision of ` 45 Crore which covers amount overdue for more than 3 years.</w:t>
      </w:r>
    </w:p>
    <w:p w14:paraId="76684E84" w14:textId="77777777" w:rsidR="00F94105" w:rsidRPr="007C7FCC" w:rsidRDefault="00F94105" w:rsidP="00F94105">
      <w:pPr>
        <w:rPr>
          <w:rFonts w:ascii="Calibri" w:hAnsi="Calibri" w:cs="Calibri"/>
          <w:u w:val="single"/>
        </w:rPr>
      </w:pPr>
      <w:r w:rsidRPr="00114830">
        <w:rPr>
          <w:rFonts w:ascii="Calibri" w:hAnsi="Calibri" w:cs="Calibri"/>
        </w:rPr>
        <w:lastRenderedPageBreak/>
        <w:drawing>
          <wp:anchor distT="0" distB="0" distL="114300" distR="114300" simplePos="0" relativeHeight="251659264" behindDoc="1" locked="0" layoutInCell="1" allowOverlap="1" wp14:anchorId="232C2855" wp14:editId="70141008">
            <wp:simplePos x="0" y="0"/>
            <wp:positionH relativeFrom="column">
              <wp:posOffset>-632460</wp:posOffset>
            </wp:positionH>
            <wp:positionV relativeFrom="paragraph">
              <wp:posOffset>320040</wp:posOffset>
            </wp:positionV>
            <wp:extent cx="7379335" cy="7345680"/>
            <wp:effectExtent l="19050" t="19050" r="12065" b="26670"/>
            <wp:wrapTight wrapText="bothSides">
              <wp:wrapPolygon edited="0">
                <wp:start x="-56" y="-56"/>
                <wp:lineTo x="-56" y="21622"/>
                <wp:lineTo x="21580" y="21622"/>
                <wp:lineTo x="21580" y="-56"/>
                <wp:lineTo x="-56" y="-56"/>
              </wp:wrapPolygon>
            </wp:wrapTight>
            <wp:docPr id="18612613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261334" name=""/>
                    <pic:cNvPicPr/>
                  </pic:nvPicPr>
                  <pic:blipFill>
                    <a:blip r:embed="rId6">
                      <a:extLst>
                        <a:ext uri="{28A0092B-C50C-407E-A947-70E740481C1C}">
                          <a14:useLocalDpi xmlns:a14="http://schemas.microsoft.com/office/drawing/2010/main" val="0"/>
                        </a:ext>
                      </a:extLst>
                    </a:blip>
                    <a:stretch>
                      <a:fillRect/>
                    </a:stretch>
                  </pic:blipFill>
                  <pic:spPr>
                    <a:xfrm>
                      <a:off x="0" y="0"/>
                      <a:ext cx="7379335" cy="734568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Pr>
          <w:rFonts w:ascii="Calibri" w:hAnsi="Calibri" w:cs="Calibri"/>
          <w:u w:val="single"/>
        </w:rPr>
        <w:t xml:space="preserve">Excerpts from Q3FY24 </w:t>
      </w:r>
      <w:proofErr w:type="spellStart"/>
      <w:r>
        <w:rPr>
          <w:rFonts w:ascii="Calibri" w:hAnsi="Calibri" w:cs="Calibri"/>
          <w:u w:val="single"/>
        </w:rPr>
        <w:t>Concall</w:t>
      </w:r>
      <w:proofErr w:type="spellEnd"/>
      <w:r>
        <w:rPr>
          <w:rFonts w:ascii="Calibri" w:hAnsi="Calibri" w:cs="Calibri"/>
          <w:u w:val="single"/>
        </w:rPr>
        <w:t xml:space="preserve"> – About Expected credit loss</w:t>
      </w:r>
    </w:p>
    <w:p w14:paraId="1A990462" w14:textId="77777777" w:rsidR="00F94105" w:rsidRDefault="00F94105" w:rsidP="00F94105">
      <w:pPr>
        <w:rPr>
          <w:rFonts w:ascii="Calibri" w:hAnsi="Calibri" w:cs="Calibri"/>
        </w:rPr>
      </w:pPr>
    </w:p>
    <w:p w14:paraId="7B49E2C3" w14:textId="77777777" w:rsidR="00F94105" w:rsidRPr="00F711C0" w:rsidRDefault="00F94105" w:rsidP="00F94105">
      <w:pPr>
        <w:rPr>
          <w:rFonts w:ascii="Calibri" w:hAnsi="Calibri" w:cs="Calibri"/>
        </w:rPr>
      </w:pPr>
      <w:r w:rsidRPr="004F349F">
        <w:rPr>
          <w:rFonts w:ascii="Calibri" w:hAnsi="Calibri" w:cs="Calibri"/>
        </w:rPr>
        <w:lastRenderedPageBreak/>
        <w:drawing>
          <wp:anchor distT="0" distB="0" distL="114300" distR="114300" simplePos="0" relativeHeight="251660288" behindDoc="1" locked="0" layoutInCell="1" allowOverlap="1" wp14:anchorId="4CB7E3DD" wp14:editId="17E8EC18">
            <wp:simplePos x="0" y="0"/>
            <wp:positionH relativeFrom="column">
              <wp:posOffset>-594995</wp:posOffset>
            </wp:positionH>
            <wp:positionV relativeFrom="paragraph">
              <wp:posOffset>0</wp:posOffset>
            </wp:positionV>
            <wp:extent cx="7176135" cy="3970020"/>
            <wp:effectExtent l="19050" t="19050" r="24765" b="11430"/>
            <wp:wrapTight wrapText="bothSides">
              <wp:wrapPolygon edited="0">
                <wp:start x="-57" y="-104"/>
                <wp:lineTo x="-57" y="21559"/>
                <wp:lineTo x="21617" y="21559"/>
                <wp:lineTo x="21617" y="-104"/>
                <wp:lineTo x="-57" y="-104"/>
              </wp:wrapPolygon>
            </wp:wrapTight>
            <wp:docPr id="1251092292"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092292" name="Picture 1" descr="A close up of a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176135" cy="397002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p>
    <w:p w14:paraId="29737BD2" w14:textId="77777777" w:rsidR="00164F76" w:rsidRDefault="00164F76"/>
    <w:sectPr w:rsidR="00164F76" w:rsidSect="00F94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105"/>
    <w:rsid w:val="000E6AA6"/>
    <w:rsid w:val="00164F76"/>
    <w:rsid w:val="004A73A9"/>
    <w:rsid w:val="00536EDE"/>
    <w:rsid w:val="00907D19"/>
    <w:rsid w:val="00C17862"/>
    <w:rsid w:val="00DC4DA1"/>
    <w:rsid w:val="00F2566D"/>
    <w:rsid w:val="00F94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093CB"/>
  <w15:chartTrackingRefBased/>
  <w15:docId w15:val="{28B41C4C-7BC3-4E45-AFC2-C9EB2D74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105"/>
  </w:style>
  <w:style w:type="paragraph" w:styleId="Heading1">
    <w:name w:val="heading 1"/>
    <w:basedOn w:val="Normal"/>
    <w:next w:val="Normal"/>
    <w:link w:val="Heading1Char"/>
    <w:uiPriority w:val="9"/>
    <w:qFormat/>
    <w:rsid w:val="00F9410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9410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9410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9410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9410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9410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9410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9410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9410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10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9410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9410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9410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9410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9410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9410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9410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94105"/>
    <w:rPr>
      <w:rFonts w:eastAsiaTheme="majorEastAsia" w:cstheme="majorBidi"/>
      <w:color w:val="272727" w:themeColor="text1" w:themeTint="D8"/>
    </w:rPr>
  </w:style>
  <w:style w:type="paragraph" w:styleId="Title">
    <w:name w:val="Title"/>
    <w:basedOn w:val="Normal"/>
    <w:next w:val="Normal"/>
    <w:link w:val="TitleChar"/>
    <w:uiPriority w:val="10"/>
    <w:qFormat/>
    <w:rsid w:val="00F9410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410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9410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9410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94105"/>
    <w:pPr>
      <w:spacing w:before="160"/>
      <w:jc w:val="center"/>
    </w:pPr>
    <w:rPr>
      <w:i/>
      <w:iCs/>
      <w:color w:val="404040" w:themeColor="text1" w:themeTint="BF"/>
    </w:rPr>
  </w:style>
  <w:style w:type="character" w:customStyle="1" w:styleId="QuoteChar">
    <w:name w:val="Quote Char"/>
    <w:basedOn w:val="DefaultParagraphFont"/>
    <w:link w:val="Quote"/>
    <w:uiPriority w:val="29"/>
    <w:rsid w:val="00F94105"/>
    <w:rPr>
      <w:i/>
      <w:iCs/>
      <w:color w:val="404040" w:themeColor="text1" w:themeTint="BF"/>
    </w:rPr>
  </w:style>
  <w:style w:type="paragraph" w:styleId="ListParagraph">
    <w:name w:val="List Paragraph"/>
    <w:basedOn w:val="Normal"/>
    <w:uiPriority w:val="34"/>
    <w:qFormat/>
    <w:rsid w:val="00F94105"/>
    <w:pPr>
      <w:ind w:left="720"/>
      <w:contextualSpacing/>
    </w:pPr>
  </w:style>
  <w:style w:type="character" w:styleId="IntenseEmphasis">
    <w:name w:val="Intense Emphasis"/>
    <w:basedOn w:val="DefaultParagraphFont"/>
    <w:uiPriority w:val="21"/>
    <w:qFormat/>
    <w:rsid w:val="00F94105"/>
    <w:rPr>
      <w:i/>
      <w:iCs/>
      <w:color w:val="0F4761" w:themeColor="accent1" w:themeShade="BF"/>
    </w:rPr>
  </w:style>
  <w:style w:type="paragraph" w:styleId="IntenseQuote">
    <w:name w:val="Intense Quote"/>
    <w:basedOn w:val="Normal"/>
    <w:next w:val="Normal"/>
    <w:link w:val="IntenseQuoteChar"/>
    <w:uiPriority w:val="30"/>
    <w:qFormat/>
    <w:rsid w:val="00F9410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94105"/>
    <w:rPr>
      <w:i/>
      <w:iCs/>
      <w:color w:val="0F4761" w:themeColor="accent1" w:themeShade="BF"/>
    </w:rPr>
  </w:style>
  <w:style w:type="character" w:styleId="IntenseReference">
    <w:name w:val="Intense Reference"/>
    <w:basedOn w:val="DefaultParagraphFont"/>
    <w:uiPriority w:val="32"/>
    <w:qFormat/>
    <w:rsid w:val="00F9410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shubham</dc:creator>
  <cp:keywords/>
  <dc:description/>
  <cp:lastModifiedBy>shubham</cp:lastModifiedBy>
  <cp:revision>12</cp:revision>
  <dcterms:created xsi:type="dcterms:W3CDTF">2024-06-26T08:55:00Z</dcterms:created>
  <dcterms:modified xsi:type="dcterms:W3CDTF">2024-06-26T08:56:00Z</dcterms:modified>
</cp:coreProperties>
</file>