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C9779" w14:textId="5D62D06D" w:rsidR="00476C5C" w:rsidRPr="00E24FB4" w:rsidRDefault="00476C5C">
      <w:pPr>
        <w:rPr>
          <w:b/>
          <w:bCs/>
          <w:sz w:val="20"/>
          <w:szCs w:val="20"/>
        </w:rPr>
      </w:pPr>
      <w:r w:rsidRPr="00E24FB4">
        <w:rPr>
          <w:b/>
          <w:bCs/>
          <w:sz w:val="20"/>
          <w:szCs w:val="20"/>
        </w:rPr>
        <w:t xml:space="preserve">Company: </w:t>
      </w:r>
      <w:r w:rsidR="00627BDA" w:rsidRPr="00E24FB4">
        <w:rPr>
          <w:b/>
          <w:bCs/>
          <w:sz w:val="20"/>
          <w:szCs w:val="20"/>
        </w:rPr>
        <w:t xml:space="preserve">Bharat </w:t>
      </w:r>
      <w:proofErr w:type="spellStart"/>
      <w:r w:rsidR="00627BDA" w:rsidRPr="00E24FB4">
        <w:rPr>
          <w:b/>
          <w:bCs/>
          <w:sz w:val="20"/>
          <w:szCs w:val="20"/>
        </w:rPr>
        <w:t>Rasayan</w:t>
      </w:r>
      <w:proofErr w:type="spellEnd"/>
      <w:r w:rsidR="00627BDA" w:rsidRPr="00E24FB4">
        <w:rPr>
          <w:b/>
          <w:bCs/>
          <w:sz w:val="20"/>
          <w:szCs w:val="20"/>
        </w:rPr>
        <w:t xml:space="preserve"> Limited</w:t>
      </w:r>
    </w:p>
    <w:p w14:paraId="08CBCC16" w14:textId="75EFFFD6" w:rsidR="00E245CF" w:rsidRDefault="008E4555">
      <w:pPr>
        <w:rPr>
          <w:b/>
          <w:bCs/>
          <w:sz w:val="20"/>
          <w:szCs w:val="20"/>
        </w:rPr>
      </w:pPr>
      <w:r>
        <w:rPr>
          <w:b/>
          <w:bCs/>
          <w:sz w:val="20"/>
          <w:szCs w:val="20"/>
        </w:rPr>
        <w:t>Representing: Ankit Gupta’ views</w:t>
      </w:r>
      <w:r w:rsidR="00F5647C">
        <w:rPr>
          <w:b/>
          <w:bCs/>
          <w:sz w:val="20"/>
          <w:szCs w:val="20"/>
        </w:rPr>
        <w:t xml:space="preserve"> on the Company</w:t>
      </w:r>
    </w:p>
    <w:p w14:paraId="35F73C6F" w14:textId="77777777" w:rsidR="008E4555" w:rsidRPr="00E24FB4" w:rsidRDefault="008E4555">
      <w:pPr>
        <w:rPr>
          <w:b/>
          <w:bCs/>
          <w:sz w:val="20"/>
          <w:szCs w:val="20"/>
        </w:rPr>
      </w:pPr>
    </w:p>
    <w:tbl>
      <w:tblPr>
        <w:tblStyle w:val="TableGrid"/>
        <w:tblW w:w="0" w:type="auto"/>
        <w:tblLook w:val="04A0" w:firstRow="1" w:lastRow="0" w:firstColumn="1" w:lastColumn="0" w:noHBand="0" w:noVBand="1"/>
      </w:tblPr>
      <w:tblGrid>
        <w:gridCol w:w="9010"/>
      </w:tblGrid>
      <w:tr w:rsidR="00E24FB4" w:rsidRPr="00E24FB4" w14:paraId="047B0098" w14:textId="77777777" w:rsidTr="00764351">
        <w:tc>
          <w:tcPr>
            <w:tcW w:w="9010" w:type="dxa"/>
          </w:tcPr>
          <w:p w14:paraId="0D611447" w14:textId="77777777" w:rsidR="003D1A08" w:rsidRPr="00E24FB4" w:rsidRDefault="003D1A08" w:rsidP="003D1A08">
            <w:pPr>
              <w:rPr>
                <w:b/>
                <w:bCs/>
                <w:sz w:val="20"/>
                <w:szCs w:val="20"/>
              </w:rPr>
            </w:pPr>
            <w:r w:rsidRPr="00E24FB4">
              <w:rPr>
                <w:b/>
                <w:bCs/>
                <w:sz w:val="20"/>
                <w:szCs w:val="20"/>
              </w:rPr>
              <w:t>Business Slotting</w:t>
            </w:r>
          </w:p>
          <w:p w14:paraId="6053A8AE" w14:textId="261CE4A8" w:rsidR="003D1A08" w:rsidRPr="00E24FB4" w:rsidRDefault="00942645" w:rsidP="003D1A08">
            <w:pPr>
              <w:rPr>
                <w:b/>
                <w:bCs/>
                <w:sz w:val="20"/>
                <w:szCs w:val="20"/>
              </w:rPr>
            </w:pPr>
            <w:r w:rsidRPr="00E24FB4">
              <w:rPr>
                <w:sz w:val="20"/>
                <w:szCs w:val="20"/>
              </w:rPr>
              <w:sym w:font="Wingdings" w:char="F0FE"/>
            </w:r>
            <w:r w:rsidR="003D1A08" w:rsidRPr="00E24FB4">
              <w:rPr>
                <w:sz w:val="20"/>
                <w:szCs w:val="20"/>
              </w:rPr>
              <w:t xml:space="preserve"> B2B </w:t>
            </w:r>
            <w:r w:rsidR="003D1A08" w:rsidRPr="00E24FB4">
              <w:rPr>
                <w:sz w:val="20"/>
                <w:szCs w:val="20"/>
              </w:rPr>
              <w:sym w:font="Wingdings" w:char="F06F"/>
            </w:r>
            <w:r w:rsidR="003D1A08" w:rsidRPr="00E24FB4">
              <w:rPr>
                <w:sz w:val="20"/>
                <w:szCs w:val="20"/>
              </w:rPr>
              <w:t xml:space="preserve"> B2C </w:t>
            </w:r>
            <w:r w:rsidR="00627BDA" w:rsidRPr="00E24FB4">
              <w:rPr>
                <w:sz w:val="20"/>
                <w:szCs w:val="20"/>
              </w:rPr>
              <w:sym w:font="Wingdings" w:char="F0FE"/>
            </w:r>
            <w:r w:rsidR="00627BDA" w:rsidRPr="00E24FB4">
              <w:rPr>
                <w:sz w:val="20"/>
                <w:szCs w:val="20"/>
              </w:rPr>
              <w:t xml:space="preserve"> </w:t>
            </w:r>
            <w:r w:rsidR="003D1A08" w:rsidRPr="00E24FB4">
              <w:rPr>
                <w:sz w:val="20"/>
                <w:szCs w:val="20"/>
              </w:rPr>
              <w:t xml:space="preserve">Asset Heavy </w:t>
            </w:r>
            <w:r w:rsidR="00627BDA" w:rsidRPr="00E24FB4">
              <w:rPr>
                <w:sz w:val="20"/>
                <w:szCs w:val="20"/>
              </w:rPr>
              <w:sym w:font="Wingdings" w:char="F06F"/>
            </w:r>
            <w:r w:rsidR="00627BDA" w:rsidRPr="00E24FB4">
              <w:rPr>
                <w:sz w:val="20"/>
                <w:szCs w:val="20"/>
              </w:rPr>
              <w:t xml:space="preserve"> </w:t>
            </w:r>
            <w:r w:rsidR="003D1A08" w:rsidRPr="00E24FB4">
              <w:rPr>
                <w:sz w:val="20"/>
                <w:szCs w:val="20"/>
              </w:rPr>
              <w:t xml:space="preserve">Asset Light </w:t>
            </w:r>
            <w:r w:rsidR="003D1A08" w:rsidRPr="00E24FB4">
              <w:rPr>
                <w:sz w:val="20"/>
                <w:szCs w:val="20"/>
              </w:rPr>
              <w:sym w:font="Wingdings" w:char="F06F"/>
            </w:r>
            <w:r w:rsidR="003D1A08" w:rsidRPr="00E24FB4">
              <w:rPr>
                <w:sz w:val="20"/>
                <w:szCs w:val="20"/>
              </w:rPr>
              <w:t xml:space="preserve"> Intellectual Prop </w:t>
            </w:r>
            <w:r w:rsidR="00627BDA" w:rsidRPr="00E24FB4">
              <w:rPr>
                <w:sz w:val="20"/>
                <w:szCs w:val="20"/>
              </w:rPr>
              <w:sym w:font="Wingdings" w:char="F06F"/>
            </w:r>
            <w:r w:rsidR="003D1A08" w:rsidRPr="00E24FB4">
              <w:rPr>
                <w:sz w:val="20"/>
                <w:szCs w:val="20"/>
              </w:rPr>
              <w:t xml:space="preserve">Price Taker </w:t>
            </w:r>
            <w:r w:rsidR="003D1A08" w:rsidRPr="00E24FB4">
              <w:rPr>
                <w:sz w:val="20"/>
                <w:szCs w:val="20"/>
              </w:rPr>
              <w:sym w:font="Wingdings" w:char="F06F"/>
            </w:r>
            <w:r w:rsidR="003D1A08" w:rsidRPr="00E24FB4">
              <w:rPr>
                <w:sz w:val="20"/>
                <w:szCs w:val="20"/>
              </w:rPr>
              <w:t xml:space="preserve">Price Setter </w:t>
            </w:r>
            <w:r w:rsidR="003D1A08" w:rsidRPr="00E24FB4">
              <w:rPr>
                <w:sz w:val="20"/>
                <w:szCs w:val="20"/>
              </w:rPr>
              <w:sym w:font="Wingdings" w:char="F06F"/>
            </w:r>
            <w:r w:rsidR="003D1A08" w:rsidRPr="00E24FB4">
              <w:rPr>
                <w:sz w:val="20"/>
                <w:szCs w:val="20"/>
              </w:rPr>
              <w:t xml:space="preserve">Oligopoly </w:t>
            </w:r>
            <w:r w:rsidRPr="00E24FB4">
              <w:rPr>
                <w:sz w:val="20"/>
                <w:szCs w:val="20"/>
              </w:rPr>
              <w:br/>
            </w:r>
            <w:r w:rsidR="00627BDA" w:rsidRPr="00E24FB4">
              <w:rPr>
                <w:sz w:val="20"/>
                <w:szCs w:val="20"/>
              </w:rPr>
              <w:sym w:font="Wingdings" w:char="F06F"/>
            </w:r>
            <w:r w:rsidR="00627BDA" w:rsidRPr="00E24FB4">
              <w:rPr>
                <w:sz w:val="20"/>
                <w:szCs w:val="20"/>
              </w:rPr>
              <w:t xml:space="preserve"> </w:t>
            </w:r>
            <w:r w:rsidR="003D1A08" w:rsidRPr="00E24FB4">
              <w:rPr>
                <w:sz w:val="20"/>
                <w:szCs w:val="20"/>
              </w:rPr>
              <w:t xml:space="preserve">Monopoly/ Duopoly </w:t>
            </w:r>
            <w:r w:rsidR="003D1A08" w:rsidRPr="00E24FB4">
              <w:rPr>
                <w:i/>
                <w:iCs/>
                <w:sz w:val="20"/>
                <w:szCs w:val="20"/>
              </w:rPr>
              <w:t xml:space="preserve"> </w:t>
            </w:r>
            <w:r w:rsidR="00627BDA" w:rsidRPr="00E24FB4">
              <w:rPr>
                <w:sz w:val="20"/>
                <w:szCs w:val="20"/>
              </w:rPr>
              <w:sym w:font="Wingdings" w:char="F06F"/>
            </w:r>
            <w:r w:rsidR="00627BDA" w:rsidRPr="00E24FB4">
              <w:rPr>
                <w:sz w:val="20"/>
                <w:szCs w:val="20"/>
              </w:rPr>
              <w:t xml:space="preserve"> </w:t>
            </w:r>
            <w:r w:rsidR="003D1A08" w:rsidRPr="00E24FB4">
              <w:rPr>
                <w:sz w:val="20"/>
                <w:szCs w:val="20"/>
              </w:rPr>
              <w:t>Customer Capex Led</w:t>
            </w:r>
            <w:r w:rsidR="00627BDA" w:rsidRPr="00E24FB4">
              <w:rPr>
                <w:sz w:val="20"/>
                <w:szCs w:val="20"/>
              </w:rPr>
              <w:t xml:space="preserve"> </w:t>
            </w:r>
            <w:r w:rsidR="00627BDA" w:rsidRPr="00E24FB4">
              <w:rPr>
                <w:sz w:val="20"/>
                <w:szCs w:val="20"/>
              </w:rPr>
              <w:sym w:font="Wingdings" w:char="F0FE"/>
            </w:r>
            <w:r w:rsidR="00627BDA" w:rsidRPr="00E24FB4">
              <w:rPr>
                <w:sz w:val="20"/>
                <w:szCs w:val="20"/>
              </w:rPr>
              <w:t xml:space="preserve"> H</w:t>
            </w:r>
            <w:r w:rsidR="00557EB5" w:rsidRPr="00E24FB4">
              <w:rPr>
                <w:sz w:val="20"/>
                <w:szCs w:val="20"/>
              </w:rPr>
              <w:t>i</w:t>
            </w:r>
            <w:r w:rsidR="00627BDA" w:rsidRPr="00E24FB4">
              <w:rPr>
                <w:sz w:val="20"/>
                <w:szCs w:val="20"/>
              </w:rPr>
              <w:t>gh working capital intensity</w:t>
            </w:r>
          </w:p>
        </w:tc>
      </w:tr>
    </w:tbl>
    <w:p w14:paraId="52BB0F25" w14:textId="77777777" w:rsidR="005616FA" w:rsidRPr="00E24FB4" w:rsidRDefault="005616FA" w:rsidP="0005167E">
      <w:pPr>
        <w:jc w:val="both"/>
        <w:rPr>
          <w:b/>
          <w:bCs/>
          <w:sz w:val="20"/>
          <w:szCs w:val="20"/>
        </w:rPr>
      </w:pPr>
    </w:p>
    <w:p w14:paraId="0D58403F" w14:textId="3B4E0BF3" w:rsidR="003D1A08" w:rsidRPr="00E24FB4" w:rsidRDefault="003D1A08" w:rsidP="0005167E">
      <w:pPr>
        <w:jc w:val="both"/>
        <w:rPr>
          <w:b/>
          <w:bCs/>
          <w:sz w:val="20"/>
          <w:szCs w:val="20"/>
        </w:rPr>
      </w:pPr>
      <w:r w:rsidRPr="00E24FB4">
        <w:rPr>
          <w:b/>
          <w:bCs/>
          <w:sz w:val="20"/>
          <w:szCs w:val="20"/>
        </w:rPr>
        <w:t>Company Background:</w:t>
      </w:r>
    </w:p>
    <w:p w14:paraId="44CDFAED" w14:textId="7641DDA5" w:rsidR="00627BDA" w:rsidRPr="00E24FB4" w:rsidRDefault="00627BDA" w:rsidP="00436A87">
      <w:pPr>
        <w:pStyle w:val="NormalWeb"/>
        <w:numPr>
          <w:ilvl w:val="0"/>
          <w:numId w:val="12"/>
        </w:numPr>
        <w:shd w:val="clear" w:color="auto" w:fill="FFFFFF"/>
        <w:spacing w:before="0" w:beforeAutospacing="0" w:after="0" w:afterAutospacing="0"/>
        <w:jc w:val="both"/>
        <w:rPr>
          <w:sz w:val="20"/>
          <w:szCs w:val="20"/>
        </w:rPr>
      </w:pPr>
      <w:r w:rsidRPr="00E24FB4">
        <w:rPr>
          <w:sz w:val="20"/>
          <w:szCs w:val="20"/>
        </w:rPr>
        <w:t xml:space="preserve">Bharat </w:t>
      </w:r>
      <w:proofErr w:type="spellStart"/>
      <w:r w:rsidRPr="00E24FB4">
        <w:rPr>
          <w:sz w:val="20"/>
          <w:szCs w:val="20"/>
        </w:rPr>
        <w:t>Rasayan</w:t>
      </w:r>
      <w:proofErr w:type="spellEnd"/>
      <w:r w:rsidRPr="00E24FB4">
        <w:rPr>
          <w:sz w:val="20"/>
          <w:szCs w:val="20"/>
        </w:rPr>
        <w:t xml:space="preserve"> Limited (BRL), the flagship company of the Bharat group, was incorporated in 1985. The company is engaged </w:t>
      </w:r>
      <w:r w:rsidR="00881F57" w:rsidRPr="00E24FB4">
        <w:rPr>
          <w:sz w:val="20"/>
          <w:szCs w:val="20"/>
        </w:rPr>
        <w:t xml:space="preserve">primarily </w:t>
      </w:r>
      <w:r w:rsidRPr="00E24FB4">
        <w:rPr>
          <w:sz w:val="20"/>
          <w:szCs w:val="20"/>
        </w:rPr>
        <w:t xml:space="preserve">in the manufacturing of technical grade pesticides, which in turn is used </w:t>
      </w:r>
      <w:r w:rsidR="00881F57" w:rsidRPr="00E24FB4">
        <w:rPr>
          <w:sz w:val="20"/>
          <w:szCs w:val="20"/>
        </w:rPr>
        <w:t xml:space="preserve">for </w:t>
      </w:r>
      <w:r w:rsidRPr="00E24FB4">
        <w:rPr>
          <w:sz w:val="20"/>
          <w:szCs w:val="20"/>
        </w:rPr>
        <w:t xml:space="preserve">manufacturing of formulations for agrochemical industry. </w:t>
      </w:r>
    </w:p>
    <w:p w14:paraId="475D360A" w14:textId="111AB529" w:rsidR="00627BDA" w:rsidRPr="00E24FB4" w:rsidRDefault="00627BDA" w:rsidP="00436A87">
      <w:pPr>
        <w:pStyle w:val="NormalWeb"/>
        <w:numPr>
          <w:ilvl w:val="0"/>
          <w:numId w:val="12"/>
        </w:numPr>
        <w:shd w:val="clear" w:color="auto" w:fill="FFFFFF"/>
        <w:spacing w:before="0" w:beforeAutospacing="0" w:after="0" w:afterAutospacing="0"/>
        <w:jc w:val="both"/>
        <w:rPr>
          <w:sz w:val="20"/>
          <w:szCs w:val="20"/>
        </w:rPr>
      </w:pPr>
      <w:r w:rsidRPr="00E24FB4">
        <w:rPr>
          <w:sz w:val="20"/>
          <w:szCs w:val="20"/>
        </w:rPr>
        <w:t xml:space="preserve">Apart from BRL, Bharat group also has two other group companies, Bharat Insecticides Limited and BR </w:t>
      </w:r>
      <w:proofErr w:type="spellStart"/>
      <w:r w:rsidRPr="00E24FB4">
        <w:rPr>
          <w:sz w:val="20"/>
          <w:szCs w:val="20"/>
        </w:rPr>
        <w:t>Agrotech</w:t>
      </w:r>
      <w:proofErr w:type="spellEnd"/>
      <w:r w:rsidRPr="00E24FB4">
        <w:rPr>
          <w:sz w:val="20"/>
          <w:szCs w:val="20"/>
        </w:rPr>
        <w:t xml:space="preserve"> Limited</w:t>
      </w:r>
      <w:r w:rsidR="00881F57" w:rsidRPr="00E24FB4">
        <w:rPr>
          <w:sz w:val="20"/>
          <w:szCs w:val="20"/>
        </w:rPr>
        <w:t xml:space="preserve"> (both unlisted</w:t>
      </w:r>
      <w:r w:rsidR="00E24FB4" w:rsidRPr="00E24FB4">
        <w:rPr>
          <w:sz w:val="20"/>
          <w:szCs w:val="20"/>
        </w:rPr>
        <w:t xml:space="preserve"> &amp; promoter held</w:t>
      </w:r>
      <w:r w:rsidR="00881F57" w:rsidRPr="00E24FB4">
        <w:rPr>
          <w:sz w:val="20"/>
          <w:szCs w:val="20"/>
        </w:rPr>
        <w:t>)</w:t>
      </w:r>
      <w:r w:rsidRPr="00E24FB4">
        <w:rPr>
          <w:sz w:val="20"/>
          <w:szCs w:val="20"/>
        </w:rPr>
        <w:t xml:space="preserve">, that are engaged in manufacturing of formulations and packaging material of the products. Together, Bharat Group is amongst the top 10 agrochemical groups in India. </w:t>
      </w:r>
    </w:p>
    <w:p w14:paraId="59F8CE1C" w14:textId="77777777" w:rsidR="00881F57" w:rsidRPr="00E24FB4" w:rsidRDefault="00627BDA" w:rsidP="00436A87">
      <w:pPr>
        <w:pStyle w:val="NormalWeb"/>
        <w:numPr>
          <w:ilvl w:val="0"/>
          <w:numId w:val="12"/>
        </w:numPr>
        <w:shd w:val="clear" w:color="auto" w:fill="FFFFFF"/>
        <w:spacing w:before="0" w:beforeAutospacing="0" w:after="0" w:afterAutospacing="0"/>
        <w:jc w:val="both"/>
        <w:rPr>
          <w:sz w:val="20"/>
          <w:szCs w:val="20"/>
        </w:rPr>
      </w:pPr>
      <w:r w:rsidRPr="00E24FB4">
        <w:rPr>
          <w:sz w:val="20"/>
          <w:szCs w:val="20"/>
        </w:rPr>
        <w:t xml:space="preserve">The company has two plants, </w:t>
      </w:r>
    </w:p>
    <w:p w14:paraId="01F4CEE5" w14:textId="77777777" w:rsidR="00881F57" w:rsidRPr="00E24FB4" w:rsidRDefault="00627BDA" w:rsidP="00436A87">
      <w:pPr>
        <w:pStyle w:val="NormalWeb"/>
        <w:numPr>
          <w:ilvl w:val="1"/>
          <w:numId w:val="12"/>
        </w:numPr>
        <w:shd w:val="clear" w:color="auto" w:fill="FFFFFF"/>
        <w:spacing w:before="0" w:beforeAutospacing="0" w:after="0" w:afterAutospacing="0"/>
        <w:jc w:val="both"/>
        <w:rPr>
          <w:sz w:val="20"/>
          <w:szCs w:val="20"/>
        </w:rPr>
      </w:pPr>
      <w:r w:rsidRPr="00E24FB4">
        <w:rPr>
          <w:sz w:val="20"/>
          <w:szCs w:val="20"/>
        </w:rPr>
        <w:t xml:space="preserve">Rohtak </w:t>
      </w:r>
      <w:r w:rsidR="00881F57" w:rsidRPr="00E24FB4">
        <w:rPr>
          <w:sz w:val="20"/>
          <w:szCs w:val="20"/>
        </w:rPr>
        <w:t xml:space="preserve">(Haryana) </w:t>
      </w:r>
      <w:r w:rsidRPr="00E24FB4">
        <w:rPr>
          <w:sz w:val="20"/>
          <w:szCs w:val="20"/>
        </w:rPr>
        <w:t xml:space="preserve">with installed capacity of around </w:t>
      </w:r>
      <w:r w:rsidR="00881F57" w:rsidRPr="00E24FB4">
        <w:rPr>
          <w:sz w:val="20"/>
          <w:szCs w:val="20"/>
        </w:rPr>
        <w:t>5</w:t>
      </w:r>
      <w:r w:rsidRPr="00E24FB4">
        <w:rPr>
          <w:sz w:val="20"/>
          <w:szCs w:val="20"/>
        </w:rPr>
        <w:t xml:space="preserve">000 metric tonne per annum (MTPA) </w:t>
      </w:r>
    </w:p>
    <w:p w14:paraId="18E55841" w14:textId="36479C6A" w:rsidR="00881F57" w:rsidRPr="00E24FB4" w:rsidRDefault="00627BDA" w:rsidP="00436A87">
      <w:pPr>
        <w:pStyle w:val="NormalWeb"/>
        <w:numPr>
          <w:ilvl w:val="1"/>
          <w:numId w:val="12"/>
        </w:numPr>
        <w:shd w:val="clear" w:color="auto" w:fill="FFFFFF"/>
        <w:spacing w:before="0" w:beforeAutospacing="0" w:after="0" w:afterAutospacing="0"/>
        <w:jc w:val="both"/>
        <w:rPr>
          <w:sz w:val="20"/>
          <w:szCs w:val="20"/>
        </w:rPr>
      </w:pPr>
      <w:proofErr w:type="spellStart"/>
      <w:r w:rsidRPr="00E24FB4">
        <w:rPr>
          <w:sz w:val="20"/>
          <w:szCs w:val="20"/>
        </w:rPr>
        <w:t>Dahej</w:t>
      </w:r>
      <w:proofErr w:type="spellEnd"/>
      <w:r w:rsidRPr="00E24FB4">
        <w:rPr>
          <w:sz w:val="20"/>
          <w:szCs w:val="20"/>
        </w:rPr>
        <w:t xml:space="preserve"> </w:t>
      </w:r>
      <w:r w:rsidR="00881F57" w:rsidRPr="00E24FB4">
        <w:rPr>
          <w:sz w:val="20"/>
          <w:szCs w:val="20"/>
        </w:rPr>
        <w:t>(</w:t>
      </w:r>
      <w:proofErr w:type="spellStart"/>
      <w:r w:rsidR="00881F57" w:rsidRPr="00E24FB4">
        <w:rPr>
          <w:sz w:val="20"/>
          <w:szCs w:val="20"/>
        </w:rPr>
        <w:t>Guajrat</w:t>
      </w:r>
      <w:proofErr w:type="spellEnd"/>
      <w:r w:rsidR="00881F57" w:rsidRPr="00E24FB4">
        <w:rPr>
          <w:sz w:val="20"/>
          <w:szCs w:val="20"/>
        </w:rPr>
        <w:t xml:space="preserve">) </w:t>
      </w:r>
      <w:r w:rsidRPr="00E24FB4">
        <w:rPr>
          <w:sz w:val="20"/>
          <w:szCs w:val="20"/>
        </w:rPr>
        <w:t xml:space="preserve">with installed capacity of around </w:t>
      </w:r>
      <w:r w:rsidR="00881F57" w:rsidRPr="00E24FB4">
        <w:rPr>
          <w:sz w:val="20"/>
          <w:szCs w:val="20"/>
        </w:rPr>
        <w:t>12</w:t>
      </w:r>
      <w:r w:rsidRPr="00E24FB4">
        <w:rPr>
          <w:sz w:val="20"/>
          <w:szCs w:val="20"/>
        </w:rPr>
        <w:t>000 MTPA</w:t>
      </w:r>
      <w:r w:rsidR="00740382" w:rsidRPr="00E24FB4">
        <w:rPr>
          <w:sz w:val="20"/>
          <w:szCs w:val="20"/>
        </w:rPr>
        <w:t xml:space="preserve"> – This was a large plant relative to the company size and was a key turning point – see financials from FY 14 later in the note). </w:t>
      </w:r>
    </w:p>
    <w:p w14:paraId="4C3E3214" w14:textId="7E9A3DE6" w:rsidR="00881F57" w:rsidRPr="00E24FB4" w:rsidRDefault="00881F57" w:rsidP="00436A87">
      <w:pPr>
        <w:pStyle w:val="NormalWeb"/>
        <w:numPr>
          <w:ilvl w:val="1"/>
          <w:numId w:val="12"/>
        </w:numPr>
        <w:shd w:val="clear" w:color="auto" w:fill="FFFFFF"/>
        <w:spacing w:before="0" w:beforeAutospacing="0" w:after="0" w:afterAutospacing="0"/>
        <w:jc w:val="both"/>
        <w:rPr>
          <w:sz w:val="20"/>
          <w:szCs w:val="20"/>
        </w:rPr>
      </w:pPr>
      <w:r w:rsidRPr="00E24FB4">
        <w:rPr>
          <w:sz w:val="20"/>
          <w:szCs w:val="20"/>
        </w:rPr>
        <w:t xml:space="preserve">New plant under construction at </w:t>
      </w:r>
      <w:proofErr w:type="spellStart"/>
      <w:r w:rsidRPr="00E24FB4">
        <w:rPr>
          <w:sz w:val="20"/>
          <w:szCs w:val="20"/>
        </w:rPr>
        <w:t>Syka</w:t>
      </w:r>
      <w:proofErr w:type="spellEnd"/>
      <w:r w:rsidRPr="00E24FB4">
        <w:rPr>
          <w:sz w:val="20"/>
          <w:szCs w:val="20"/>
        </w:rPr>
        <w:t>, Gujarat</w:t>
      </w:r>
      <w:r w:rsidR="00C00D54" w:rsidRPr="00E24FB4">
        <w:rPr>
          <w:sz w:val="20"/>
          <w:szCs w:val="20"/>
        </w:rPr>
        <w:t xml:space="preserve"> – focussing on backward integration</w:t>
      </w:r>
    </w:p>
    <w:p w14:paraId="38C7513F" w14:textId="06A9846E" w:rsidR="00881F57" w:rsidRPr="00E24FB4" w:rsidRDefault="00881F57" w:rsidP="00436A87">
      <w:pPr>
        <w:pStyle w:val="NormalWeb"/>
        <w:numPr>
          <w:ilvl w:val="0"/>
          <w:numId w:val="12"/>
        </w:numPr>
        <w:shd w:val="clear" w:color="auto" w:fill="FFFFFF"/>
        <w:spacing w:before="0" w:beforeAutospacing="0" w:after="0" w:afterAutospacing="0"/>
        <w:jc w:val="both"/>
        <w:rPr>
          <w:sz w:val="20"/>
          <w:szCs w:val="20"/>
        </w:rPr>
      </w:pPr>
      <w:r w:rsidRPr="00E24FB4">
        <w:rPr>
          <w:sz w:val="20"/>
          <w:szCs w:val="20"/>
        </w:rPr>
        <w:t xml:space="preserve">BRL is majorly in the manufacturing of technical grade pesticides and also manufactures intermediates grades, which is the raw material for manufacturing technical grades. The sales of technical manufactured by BRL are also made to group companies (BIL and BRAL), which uses it as a raw material for the manufacturing of formulations. </w:t>
      </w:r>
    </w:p>
    <w:p w14:paraId="304A1BCC" w14:textId="1B43D640" w:rsidR="006A2480" w:rsidRPr="00E24FB4" w:rsidRDefault="006A2480" w:rsidP="00436A87">
      <w:pPr>
        <w:pStyle w:val="ListParagraph"/>
        <w:numPr>
          <w:ilvl w:val="0"/>
          <w:numId w:val="12"/>
        </w:numPr>
        <w:rPr>
          <w:sz w:val="20"/>
          <w:szCs w:val="20"/>
        </w:rPr>
      </w:pPr>
      <w:r w:rsidRPr="00E24FB4">
        <w:rPr>
          <w:sz w:val="20"/>
          <w:szCs w:val="20"/>
        </w:rPr>
        <w:t xml:space="preserve">The Gupta family, Mr. S.N. Gupta, Mr. M.P. Gupta and Mr. R.P. Gupta (all brothers), are the promoters of the company and hold 74.79% stake in the company. They have never diluted equity in the past. </w:t>
      </w:r>
    </w:p>
    <w:p w14:paraId="3E4483F2" w14:textId="77777777" w:rsidR="00CE2BAE" w:rsidRPr="00E24FB4" w:rsidRDefault="00CE2BAE" w:rsidP="0005167E">
      <w:pPr>
        <w:jc w:val="both"/>
        <w:rPr>
          <w:b/>
          <w:bCs/>
          <w:sz w:val="20"/>
          <w:szCs w:val="20"/>
        </w:rPr>
      </w:pPr>
    </w:p>
    <w:p w14:paraId="27410342" w14:textId="6466291F" w:rsidR="002B463F" w:rsidRPr="00E24FB4" w:rsidRDefault="002B463F" w:rsidP="0005167E">
      <w:pPr>
        <w:jc w:val="both"/>
        <w:rPr>
          <w:b/>
          <w:bCs/>
          <w:sz w:val="20"/>
          <w:szCs w:val="20"/>
        </w:rPr>
      </w:pPr>
      <w:r w:rsidRPr="00E24FB4">
        <w:rPr>
          <w:b/>
          <w:bCs/>
          <w:sz w:val="20"/>
          <w:szCs w:val="20"/>
        </w:rPr>
        <w:t>Product details</w:t>
      </w:r>
    </w:p>
    <w:p w14:paraId="0F1E278D" w14:textId="29792303" w:rsidR="002B463F" w:rsidRPr="00E24FB4" w:rsidRDefault="002B463F" w:rsidP="00436A87">
      <w:pPr>
        <w:pStyle w:val="NormalWeb"/>
        <w:numPr>
          <w:ilvl w:val="0"/>
          <w:numId w:val="12"/>
        </w:numPr>
        <w:shd w:val="clear" w:color="auto" w:fill="FFFFFF"/>
        <w:spacing w:before="0" w:beforeAutospacing="0" w:after="0" w:afterAutospacing="0"/>
        <w:jc w:val="both"/>
        <w:rPr>
          <w:sz w:val="20"/>
          <w:szCs w:val="20"/>
        </w:rPr>
      </w:pPr>
      <w:r w:rsidRPr="00E24FB4">
        <w:rPr>
          <w:sz w:val="20"/>
          <w:szCs w:val="20"/>
        </w:rPr>
        <w:t xml:space="preserve">Product Range - Insecticides, Herbicides, Fungicides, Intermediates &amp; Veterinary Use. </w:t>
      </w:r>
    </w:p>
    <w:p w14:paraId="3B9E8F16" w14:textId="2C03F5D6" w:rsidR="002B463F" w:rsidRPr="00E24FB4" w:rsidRDefault="00881F57" w:rsidP="00436A87">
      <w:pPr>
        <w:pStyle w:val="NormalWeb"/>
        <w:numPr>
          <w:ilvl w:val="0"/>
          <w:numId w:val="12"/>
        </w:numPr>
        <w:shd w:val="clear" w:color="auto" w:fill="FFFFFF"/>
        <w:spacing w:before="0" w:beforeAutospacing="0" w:after="0" w:afterAutospacing="0"/>
        <w:jc w:val="both"/>
        <w:rPr>
          <w:sz w:val="20"/>
          <w:szCs w:val="20"/>
        </w:rPr>
      </w:pPr>
      <w:r w:rsidRPr="00E24FB4">
        <w:rPr>
          <w:sz w:val="20"/>
          <w:szCs w:val="20"/>
        </w:rPr>
        <w:t>Technical grade pesticides accounted for 77.62% (PY: 80.33%), intermediates grades accounted for 15.99% (PY: 15.57%) and formulation grades accounted for 6.07% (PY: 2.07%) of gross sales of BRL.</w:t>
      </w:r>
    </w:p>
    <w:p w14:paraId="2EFAE996" w14:textId="17356313" w:rsidR="00AD39E1" w:rsidRPr="00E24FB4" w:rsidRDefault="00AD39E1" w:rsidP="00436A87">
      <w:pPr>
        <w:pStyle w:val="NormalWeb"/>
        <w:numPr>
          <w:ilvl w:val="0"/>
          <w:numId w:val="12"/>
        </w:numPr>
        <w:shd w:val="clear" w:color="auto" w:fill="FFFFFF"/>
        <w:spacing w:before="0" w:beforeAutospacing="0" w:after="0" w:afterAutospacing="0"/>
        <w:jc w:val="both"/>
        <w:rPr>
          <w:sz w:val="20"/>
          <w:szCs w:val="20"/>
        </w:rPr>
      </w:pPr>
      <w:r w:rsidRPr="00E24FB4">
        <w:rPr>
          <w:sz w:val="20"/>
          <w:szCs w:val="20"/>
        </w:rPr>
        <w:t>On a group level, composition of sales is dominated by technical pesticides which account for 42.78 % of the total sales of the group in FY19 (PY: 42.25%) and formulations grade &amp; intermediates combined accounts for 48.95% of total sales of the group in FY19 (PY: 52.84%).</w:t>
      </w:r>
    </w:p>
    <w:p w14:paraId="6FAB1283" w14:textId="73A5204B" w:rsidR="002B463F" w:rsidRPr="00E24FB4" w:rsidRDefault="002B463F" w:rsidP="00436A87">
      <w:pPr>
        <w:pStyle w:val="NormalWeb"/>
        <w:numPr>
          <w:ilvl w:val="0"/>
          <w:numId w:val="12"/>
        </w:numPr>
        <w:shd w:val="clear" w:color="auto" w:fill="FFFFFF"/>
        <w:spacing w:before="0" w:beforeAutospacing="0" w:after="0" w:afterAutospacing="0"/>
        <w:jc w:val="both"/>
        <w:rPr>
          <w:sz w:val="20"/>
          <w:szCs w:val="20"/>
        </w:rPr>
      </w:pPr>
      <w:r w:rsidRPr="00E24FB4">
        <w:rPr>
          <w:sz w:val="20"/>
          <w:szCs w:val="20"/>
        </w:rPr>
        <w:t xml:space="preserve">It has around 20-22 active molecules as its key products. Its key products include </w:t>
      </w:r>
      <w:proofErr w:type="spellStart"/>
      <w:r w:rsidRPr="00E24FB4">
        <w:rPr>
          <w:sz w:val="20"/>
          <w:szCs w:val="20"/>
        </w:rPr>
        <w:t>Metaphenoxy</w:t>
      </w:r>
      <w:proofErr w:type="spellEnd"/>
      <w:r w:rsidRPr="00E24FB4">
        <w:rPr>
          <w:sz w:val="20"/>
          <w:szCs w:val="20"/>
        </w:rPr>
        <w:t xml:space="preserve"> Benzaldehyde, Lambda Cyhalothrin</w:t>
      </w:r>
      <w:r w:rsidR="006B129C" w:rsidRPr="00E24FB4">
        <w:rPr>
          <w:sz w:val="20"/>
          <w:szCs w:val="20"/>
        </w:rPr>
        <w:t xml:space="preserve"> (insecticide)</w:t>
      </w:r>
      <w:r w:rsidRPr="00E24FB4">
        <w:rPr>
          <w:sz w:val="20"/>
          <w:szCs w:val="20"/>
        </w:rPr>
        <w:t xml:space="preserve">, </w:t>
      </w:r>
      <w:r w:rsidR="006B129C" w:rsidRPr="00E24FB4">
        <w:rPr>
          <w:sz w:val="20"/>
          <w:szCs w:val="20"/>
        </w:rPr>
        <w:t xml:space="preserve">Thiamethoxam (insecticide), </w:t>
      </w:r>
      <w:r w:rsidRPr="00E24FB4">
        <w:rPr>
          <w:sz w:val="20"/>
          <w:szCs w:val="20"/>
        </w:rPr>
        <w:t xml:space="preserve">Metribuzin, </w:t>
      </w:r>
      <w:proofErr w:type="spellStart"/>
      <w:r w:rsidRPr="00E24FB4">
        <w:rPr>
          <w:sz w:val="20"/>
          <w:szCs w:val="20"/>
        </w:rPr>
        <w:t>Chloropyrophil</w:t>
      </w:r>
      <w:proofErr w:type="spellEnd"/>
      <w:r w:rsidRPr="00E24FB4">
        <w:rPr>
          <w:sz w:val="20"/>
          <w:szCs w:val="20"/>
        </w:rPr>
        <w:t xml:space="preserve">, Para </w:t>
      </w:r>
      <w:proofErr w:type="spellStart"/>
      <w:r w:rsidRPr="00E24FB4">
        <w:rPr>
          <w:sz w:val="20"/>
          <w:szCs w:val="20"/>
        </w:rPr>
        <w:t>Chloro</w:t>
      </w:r>
      <w:proofErr w:type="spellEnd"/>
      <w:r w:rsidRPr="00E24FB4">
        <w:rPr>
          <w:sz w:val="20"/>
          <w:szCs w:val="20"/>
        </w:rPr>
        <w:t xml:space="preserve"> Benzene Cyanide. </w:t>
      </w:r>
    </w:p>
    <w:p w14:paraId="1F2137BD" w14:textId="41C1833C" w:rsidR="002B463F" w:rsidRPr="00E24FB4" w:rsidRDefault="002B463F" w:rsidP="00436A87">
      <w:pPr>
        <w:pStyle w:val="NormalWeb"/>
        <w:numPr>
          <w:ilvl w:val="0"/>
          <w:numId w:val="12"/>
        </w:numPr>
        <w:shd w:val="clear" w:color="auto" w:fill="FFFFFF"/>
        <w:spacing w:before="0" w:beforeAutospacing="0" w:after="0" w:afterAutospacing="0"/>
        <w:jc w:val="both"/>
        <w:rPr>
          <w:sz w:val="20"/>
          <w:szCs w:val="20"/>
        </w:rPr>
      </w:pPr>
      <w:r w:rsidRPr="00E24FB4">
        <w:rPr>
          <w:sz w:val="20"/>
          <w:szCs w:val="20"/>
        </w:rPr>
        <w:t xml:space="preserve">Meta Phenoxy </w:t>
      </w:r>
      <w:proofErr w:type="spellStart"/>
      <w:r w:rsidRPr="00E24FB4">
        <w:rPr>
          <w:sz w:val="20"/>
          <w:szCs w:val="20"/>
        </w:rPr>
        <w:t>Benzaldyhyde</w:t>
      </w:r>
      <w:proofErr w:type="spellEnd"/>
      <w:r w:rsidRPr="00E24FB4">
        <w:rPr>
          <w:sz w:val="20"/>
          <w:szCs w:val="20"/>
        </w:rPr>
        <w:t xml:space="preserve"> is the top molecule contributing 13% of sales – the Co plans to restrict production of this molecule to current levels</w:t>
      </w:r>
      <w:r w:rsidR="00E24FB4" w:rsidRPr="00E24FB4">
        <w:rPr>
          <w:sz w:val="20"/>
          <w:szCs w:val="20"/>
        </w:rPr>
        <w:t>.</w:t>
      </w:r>
      <w:r w:rsidRPr="00E24FB4">
        <w:rPr>
          <w:sz w:val="20"/>
          <w:szCs w:val="20"/>
        </w:rPr>
        <w:t xml:space="preserve"> The company focusses on niche molecules with limited competition and keeps dynamically manage its portfolio – replacing lower margin molecules </w:t>
      </w:r>
      <w:r w:rsidR="00E24FB4" w:rsidRPr="00E24FB4">
        <w:rPr>
          <w:sz w:val="20"/>
          <w:szCs w:val="20"/>
        </w:rPr>
        <w:t xml:space="preserve">with higher margin molecules </w:t>
      </w:r>
      <w:r w:rsidRPr="00E24FB4">
        <w:rPr>
          <w:sz w:val="20"/>
          <w:szCs w:val="20"/>
        </w:rPr>
        <w:t xml:space="preserve">as new competition come in. </w:t>
      </w:r>
    </w:p>
    <w:p w14:paraId="32DD9B38" w14:textId="01865065" w:rsidR="002B463F" w:rsidRPr="00E24FB4" w:rsidRDefault="002B463F" w:rsidP="00436A87">
      <w:pPr>
        <w:pStyle w:val="NormalWeb"/>
        <w:numPr>
          <w:ilvl w:val="0"/>
          <w:numId w:val="12"/>
        </w:numPr>
        <w:shd w:val="clear" w:color="auto" w:fill="FFFFFF"/>
        <w:spacing w:before="0" w:beforeAutospacing="0" w:after="0" w:afterAutospacing="0"/>
        <w:jc w:val="both"/>
        <w:rPr>
          <w:sz w:val="20"/>
          <w:szCs w:val="20"/>
        </w:rPr>
      </w:pPr>
      <w:r w:rsidRPr="00E24FB4">
        <w:rPr>
          <w:sz w:val="20"/>
          <w:szCs w:val="20"/>
        </w:rPr>
        <w:t xml:space="preserve">BRL generates ~ 62% sales from its top 9 products (H1FY20), 62% in FY19, 52% in FY18 and 70% in FY17 and 77% in FY16 from its top 10 products. </w:t>
      </w:r>
    </w:p>
    <w:p w14:paraId="7BBA22D1" w14:textId="77777777" w:rsidR="00CE2BAE" w:rsidRPr="00E24FB4" w:rsidRDefault="00CE2BAE" w:rsidP="002B463F">
      <w:pPr>
        <w:shd w:val="clear" w:color="auto" w:fill="FFFFFF"/>
        <w:rPr>
          <w:b/>
          <w:bCs/>
          <w:sz w:val="20"/>
          <w:szCs w:val="20"/>
        </w:rPr>
      </w:pPr>
    </w:p>
    <w:p w14:paraId="18C6E053" w14:textId="6586B427" w:rsidR="002B463F" w:rsidRPr="00E24FB4" w:rsidRDefault="002B463F" w:rsidP="00E24FB4">
      <w:pPr>
        <w:jc w:val="both"/>
        <w:rPr>
          <w:b/>
          <w:bCs/>
          <w:sz w:val="20"/>
          <w:szCs w:val="20"/>
        </w:rPr>
      </w:pPr>
      <w:r w:rsidRPr="00E24FB4">
        <w:rPr>
          <w:b/>
          <w:bCs/>
          <w:sz w:val="20"/>
          <w:szCs w:val="20"/>
        </w:rPr>
        <w:t>Customer segment details</w:t>
      </w:r>
    </w:p>
    <w:p w14:paraId="1A1FA0F4" w14:textId="47F6B95D" w:rsidR="002B463F" w:rsidRPr="00E24FB4" w:rsidRDefault="002B463F" w:rsidP="00436A87">
      <w:pPr>
        <w:pStyle w:val="NormalWeb"/>
        <w:numPr>
          <w:ilvl w:val="0"/>
          <w:numId w:val="14"/>
        </w:numPr>
        <w:shd w:val="clear" w:color="auto" w:fill="FFFFFF"/>
        <w:spacing w:before="0" w:beforeAutospacing="0" w:after="0" w:afterAutospacing="0" w:line="276" w:lineRule="auto"/>
        <w:jc w:val="both"/>
        <w:rPr>
          <w:sz w:val="20"/>
          <w:szCs w:val="20"/>
        </w:rPr>
      </w:pPr>
      <w:r w:rsidRPr="00E24FB4">
        <w:rPr>
          <w:sz w:val="20"/>
          <w:szCs w:val="20"/>
        </w:rPr>
        <w:t>Customer wise sales break up is appended below:</w:t>
      </w:r>
    </w:p>
    <w:tbl>
      <w:tblPr>
        <w:tblW w:w="9781" w:type="dxa"/>
        <w:tblInd w:w="274" w:type="dxa"/>
        <w:tblLook w:val="04A0" w:firstRow="1" w:lastRow="0" w:firstColumn="1" w:lastColumn="0" w:noHBand="0" w:noVBand="1"/>
      </w:tblPr>
      <w:tblGrid>
        <w:gridCol w:w="1840"/>
        <w:gridCol w:w="740"/>
        <w:gridCol w:w="741"/>
        <w:gridCol w:w="741"/>
        <w:gridCol w:w="741"/>
        <w:gridCol w:w="741"/>
        <w:gridCol w:w="740"/>
        <w:gridCol w:w="741"/>
        <w:gridCol w:w="741"/>
        <w:gridCol w:w="741"/>
        <w:gridCol w:w="1274"/>
      </w:tblGrid>
      <w:tr w:rsidR="00E24FB4" w:rsidRPr="00E24FB4" w14:paraId="1BF88A72" w14:textId="77777777" w:rsidTr="00CE2BAE">
        <w:trPr>
          <w:trHeight w:val="40"/>
        </w:trPr>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6E7FB1" w14:textId="77777777" w:rsidR="002B463F" w:rsidRPr="00E24FB4" w:rsidRDefault="002B463F" w:rsidP="006D0E44">
            <w:pPr>
              <w:rPr>
                <w:sz w:val="18"/>
                <w:szCs w:val="18"/>
                <w:lang w:eastAsia="en-IN"/>
              </w:rPr>
            </w:pPr>
            <w:r w:rsidRPr="00E24FB4">
              <w:rPr>
                <w:sz w:val="18"/>
                <w:szCs w:val="18"/>
                <w:lang w:eastAsia="en-IN"/>
              </w:rPr>
              <w:t> </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0C2574FB" w14:textId="77777777" w:rsidR="002B463F" w:rsidRPr="00E24FB4" w:rsidRDefault="002B463F" w:rsidP="006D0E44">
            <w:pPr>
              <w:rPr>
                <w:b/>
                <w:bCs/>
                <w:sz w:val="18"/>
                <w:szCs w:val="18"/>
                <w:lang w:eastAsia="en-IN"/>
              </w:rPr>
            </w:pPr>
            <w:r w:rsidRPr="00E24FB4">
              <w:rPr>
                <w:b/>
                <w:bCs/>
                <w:sz w:val="18"/>
                <w:szCs w:val="18"/>
                <w:lang w:eastAsia="en-IN"/>
              </w:rPr>
              <w:t>FY 11</w:t>
            </w:r>
          </w:p>
        </w:tc>
        <w:tc>
          <w:tcPr>
            <w:tcW w:w="741" w:type="dxa"/>
            <w:tcBorders>
              <w:top w:val="single" w:sz="8" w:space="0" w:color="auto"/>
              <w:left w:val="nil"/>
              <w:bottom w:val="single" w:sz="8" w:space="0" w:color="auto"/>
              <w:right w:val="single" w:sz="8" w:space="0" w:color="auto"/>
            </w:tcBorders>
            <w:shd w:val="clear" w:color="auto" w:fill="auto"/>
            <w:vAlign w:val="center"/>
            <w:hideMark/>
          </w:tcPr>
          <w:p w14:paraId="14058632" w14:textId="77777777" w:rsidR="002B463F" w:rsidRPr="00E24FB4" w:rsidRDefault="002B463F" w:rsidP="006D0E44">
            <w:pPr>
              <w:rPr>
                <w:b/>
                <w:bCs/>
                <w:sz w:val="18"/>
                <w:szCs w:val="18"/>
                <w:lang w:eastAsia="en-IN"/>
              </w:rPr>
            </w:pPr>
            <w:r w:rsidRPr="00E24FB4">
              <w:rPr>
                <w:b/>
                <w:bCs/>
                <w:sz w:val="18"/>
                <w:szCs w:val="18"/>
                <w:lang w:eastAsia="en-IN"/>
              </w:rPr>
              <w:t>FY 12</w:t>
            </w:r>
          </w:p>
        </w:tc>
        <w:tc>
          <w:tcPr>
            <w:tcW w:w="741" w:type="dxa"/>
            <w:tcBorders>
              <w:top w:val="single" w:sz="8" w:space="0" w:color="auto"/>
              <w:left w:val="nil"/>
              <w:bottom w:val="single" w:sz="8" w:space="0" w:color="auto"/>
              <w:right w:val="single" w:sz="8" w:space="0" w:color="auto"/>
            </w:tcBorders>
            <w:shd w:val="clear" w:color="auto" w:fill="auto"/>
            <w:vAlign w:val="center"/>
            <w:hideMark/>
          </w:tcPr>
          <w:p w14:paraId="32F9EACE" w14:textId="77777777" w:rsidR="002B463F" w:rsidRPr="00E24FB4" w:rsidRDefault="002B463F" w:rsidP="006D0E44">
            <w:pPr>
              <w:rPr>
                <w:b/>
                <w:bCs/>
                <w:sz w:val="18"/>
                <w:szCs w:val="18"/>
                <w:lang w:eastAsia="en-IN"/>
              </w:rPr>
            </w:pPr>
            <w:r w:rsidRPr="00E24FB4">
              <w:rPr>
                <w:b/>
                <w:bCs/>
                <w:sz w:val="18"/>
                <w:szCs w:val="18"/>
                <w:lang w:eastAsia="en-IN"/>
              </w:rPr>
              <w:t>FY 13</w:t>
            </w:r>
          </w:p>
        </w:tc>
        <w:tc>
          <w:tcPr>
            <w:tcW w:w="741" w:type="dxa"/>
            <w:tcBorders>
              <w:top w:val="single" w:sz="8" w:space="0" w:color="auto"/>
              <w:left w:val="nil"/>
              <w:bottom w:val="single" w:sz="8" w:space="0" w:color="auto"/>
              <w:right w:val="single" w:sz="8" w:space="0" w:color="auto"/>
            </w:tcBorders>
            <w:shd w:val="clear" w:color="auto" w:fill="auto"/>
            <w:vAlign w:val="center"/>
            <w:hideMark/>
          </w:tcPr>
          <w:p w14:paraId="38B1B4FB" w14:textId="77777777" w:rsidR="002B463F" w:rsidRPr="00E24FB4" w:rsidRDefault="002B463F" w:rsidP="006D0E44">
            <w:pPr>
              <w:rPr>
                <w:b/>
                <w:bCs/>
                <w:sz w:val="18"/>
                <w:szCs w:val="18"/>
                <w:lang w:eastAsia="en-IN"/>
              </w:rPr>
            </w:pPr>
            <w:r w:rsidRPr="00E24FB4">
              <w:rPr>
                <w:b/>
                <w:bCs/>
                <w:sz w:val="18"/>
                <w:szCs w:val="18"/>
                <w:lang w:eastAsia="en-IN"/>
              </w:rPr>
              <w:t>FY 14</w:t>
            </w:r>
          </w:p>
        </w:tc>
        <w:tc>
          <w:tcPr>
            <w:tcW w:w="741" w:type="dxa"/>
            <w:tcBorders>
              <w:top w:val="single" w:sz="8" w:space="0" w:color="auto"/>
              <w:left w:val="nil"/>
              <w:bottom w:val="single" w:sz="8" w:space="0" w:color="auto"/>
              <w:right w:val="single" w:sz="8" w:space="0" w:color="auto"/>
            </w:tcBorders>
            <w:shd w:val="clear" w:color="auto" w:fill="auto"/>
            <w:vAlign w:val="center"/>
            <w:hideMark/>
          </w:tcPr>
          <w:p w14:paraId="1478DA5A" w14:textId="77777777" w:rsidR="002B463F" w:rsidRPr="00E24FB4" w:rsidRDefault="002B463F" w:rsidP="006D0E44">
            <w:pPr>
              <w:rPr>
                <w:b/>
                <w:bCs/>
                <w:sz w:val="18"/>
                <w:szCs w:val="18"/>
                <w:lang w:eastAsia="en-IN"/>
              </w:rPr>
            </w:pPr>
            <w:r w:rsidRPr="00E24FB4">
              <w:rPr>
                <w:b/>
                <w:bCs/>
                <w:sz w:val="18"/>
                <w:szCs w:val="18"/>
                <w:lang w:eastAsia="en-IN"/>
              </w:rPr>
              <w:t>FY 15</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7B5D6803" w14:textId="77777777" w:rsidR="002B463F" w:rsidRPr="00E24FB4" w:rsidRDefault="002B463F" w:rsidP="006D0E44">
            <w:pPr>
              <w:rPr>
                <w:b/>
                <w:bCs/>
                <w:sz w:val="18"/>
                <w:szCs w:val="18"/>
                <w:lang w:eastAsia="en-IN"/>
              </w:rPr>
            </w:pPr>
            <w:r w:rsidRPr="00E24FB4">
              <w:rPr>
                <w:b/>
                <w:bCs/>
                <w:sz w:val="18"/>
                <w:szCs w:val="18"/>
                <w:lang w:eastAsia="en-IN"/>
              </w:rPr>
              <w:t>FY 16</w:t>
            </w:r>
          </w:p>
        </w:tc>
        <w:tc>
          <w:tcPr>
            <w:tcW w:w="741" w:type="dxa"/>
            <w:tcBorders>
              <w:top w:val="single" w:sz="8" w:space="0" w:color="auto"/>
              <w:left w:val="nil"/>
              <w:bottom w:val="single" w:sz="8" w:space="0" w:color="auto"/>
              <w:right w:val="single" w:sz="8" w:space="0" w:color="auto"/>
            </w:tcBorders>
            <w:shd w:val="clear" w:color="auto" w:fill="auto"/>
            <w:vAlign w:val="center"/>
            <w:hideMark/>
          </w:tcPr>
          <w:p w14:paraId="496C3992" w14:textId="77777777" w:rsidR="002B463F" w:rsidRPr="00E24FB4" w:rsidRDefault="002B463F" w:rsidP="006D0E44">
            <w:pPr>
              <w:rPr>
                <w:b/>
                <w:bCs/>
                <w:sz w:val="18"/>
                <w:szCs w:val="18"/>
                <w:lang w:eastAsia="en-IN"/>
              </w:rPr>
            </w:pPr>
            <w:r w:rsidRPr="00E24FB4">
              <w:rPr>
                <w:b/>
                <w:bCs/>
                <w:sz w:val="18"/>
                <w:szCs w:val="18"/>
                <w:lang w:eastAsia="en-IN"/>
              </w:rPr>
              <w:t>FY 17</w:t>
            </w:r>
          </w:p>
        </w:tc>
        <w:tc>
          <w:tcPr>
            <w:tcW w:w="741" w:type="dxa"/>
            <w:tcBorders>
              <w:top w:val="single" w:sz="8" w:space="0" w:color="auto"/>
              <w:left w:val="nil"/>
              <w:bottom w:val="single" w:sz="8" w:space="0" w:color="auto"/>
              <w:right w:val="single" w:sz="8" w:space="0" w:color="auto"/>
            </w:tcBorders>
            <w:shd w:val="clear" w:color="auto" w:fill="auto"/>
            <w:vAlign w:val="center"/>
            <w:hideMark/>
          </w:tcPr>
          <w:p w14:paraId="57E960E4" w14:textId="77777777" w:rsidR="002B463F" w:rsidRPr="00E24FB4" w:rsidRDefault="002B463F" w:rsidP="006D0E44">
            <w:pPr>
              <w:rPr>
                <w:b/>
                <w:bCs/>
                <w:sz w:val="18"/>
                <w:szCs w:val="18"/>
                <w:lang w:eastAsia="en-IN"/>
              </w:rPr>
            </w:pPr>
            <w:r w:rsidRPr="00E24FB4">
              <w:rPr>
                <w:b/>
                <w:bCs/>
                <w:sz w:val="18"/>
                <w:szCs w:val="18"/>
                <w:lang w:eastAsia="en-IN"/>
              </w:rPr>
              <w:t>FY 18</w:t>
            </w:r>
          </w:p>
        </w:tc>
        <w:tc>
          <w:tcPr>
            <w:tcW w:w="741" w:type="dxa"/>
            <w:tcBorders>
              <w:top w:val="single" w:sz="8" w:space="0" w:color="auto"/>
              <w:left w:val="nil"/>
              <w:bottom w:val="single" w:sz="8" w:space="0" w:color="auto"/>
              <w:right w:val="single" w:sz="8" w:space="0" w:color="auto"/>
            </w:tcBorders>
            <w:shd w:val="clear" w:color="auto" w:fill="auto"/>
            <w:vAlign w:val="center"/>
            <w:hideMark/>
          </w:tcPr>
          <w:p w14:paraId="2F36F647" w14:textId="77777777" w:rsidR="002B463F" w:rsidRPr="00E24FB4" w:rsidRDefault="002B463F" w:rsidP="006D0E44">
            <w:pPr>
              <w:rPr>
                <w:b/>
                <w:bCs/>
                <w:sz w:val="18"/>
                <w:szCs w:val="18"/>
                <w:lang w:eastAsia="en-IN"/>
              </w:rPr>
            </w:pPr>
            <w:r w:rsidRPr="00E24FB4">
              <w:rPr>
                <w:b/>
                <w:bCs/>
                <w:sz w:val="18"/>
                <w:szCs w:val="18"/>
                <w:lang w:eastAsia="en-IN"/>
              </w:rPr>
              <w:t>FY 19</w:t>
            </w:r>
          </w:p>
        </w:tc>
        <w:tc>
          <w:tcPr>
            <w:tcW w:w="1274" w:type="dxa"/>
            <w:tcBorders>
              <w:top w:val="single" w:sz="8" w:space="0" w:color="auto"/>
              <w:left w:val="nil"/>
              <w:bottom w:val="single" w:sz="8" w:space="0" w:color="auto"/>
              <w:right w:val="single" w:sz="8" w:space="0" w:color="auto"/>
            </w:tcBorders>
            <w:shd w:val="clear" w:color="auto" w:fill="auto"/>
            <w:vAlign w:val="center"/>
            <w:hideMark/>
          </w:tcPr>
          <w:p w14:paraId="6A92C766" w14:textId="77777777" w:rsidR="002B463F" w:rsidRPr="00E24FB4" w:rsidRDefault="002B463F" w:rsidP="006D0E44">
            <w:pPr>
              <w:rPr>
                <w:b/>
                <w:bCs/>
                <w:sz w:val="18"/>
                <w:szCs w:val="18"/>
                <w:lang w:eastAsia="en-IN"/>
              </w:rPr>
            </w:pPr>
            <w:r w:rsidRPr="00E24FB4">
              <w:rPr>
                <w:b/>
                <w:bCs/>
                <w:sz w:val="18"/>
                <w:szCs w:val="18"/>
                <w:lang w:eastAsia="en-IN"/>
              </w:rPr>
              <w:t>8 year CAGR</w:t>
            </w:r>
          </w:p>
        </w:tc>
      </w:tr>
      <w:tr w:rsidR="00E24FB4" w:rsidRPr="00E24FB4" w14:paraId="3AD71B84" w14:textId="77777777" w:rsidTr="00CE2BAE">
        <w:trPr>
          <w:trHeight w:val="223"/>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28E3EA98" w14:textId="77777777" w:rsidR="002B463F" w:rsidRPr="00E24FB4" w:rsidRDefault="002B463F" w:rsidP="006D0E44">
            <w:pPr>
              <w:rPr>
                <w:sz w:val="18"/>
                <w:szCs w:val="18"/>
                <w:lang w:eastAsia="en-IN"/>
              </w:rPr>
            </w:pPr>
            <w:r w:rsidRPr="00E24FB4">
              <w:rPr>
                <w:sz w:val="18"/>
                <w:szCs w:val="18"/>
                <w:lang w:eastAsia="en-IN"/>
              </w:rPr>
              <w:t>Export Sales</w:t>
            </w:r>
          </w:p>
        </w:tc>
        <w:tc>
          <w:tcPr>
            <w:tcW w:w="740" w:type="dxa"/>
            <w:tcBorders>
              <w:top w:val="nil"/>
              <w:left w:val="nil"/>
              <w:bottom w:val="single" w:sz="8" w:space="0" w:color="auto"/>
              <w:right w:val="single" w:sz="8" w:space="0" w:color="auto"/>
            </w:tcBorders>
            <w:shd w:val="clear" w:color="auto" w:fill="auto"/>
            <w:vAlign w:val="center"/>
            <w:hideMark/>
          </w:tcPr>
          <w:p w14:paraId="4AAB7F04" w14:textId="77777777" w:rsidR="002B463F" w:rsidRPr="00E24FB4" w:rsidRDefault="002B463F" w:rsidP="006D0E44">
            <w:pPr>
              <w:jc w:val="right"/>
              <w:rPr>
                <w:sz w:val="18"/>
                <w:szCs w:val="18"/>
                <w:lang w:eastAsia="en-IN"/>
              </w:rPr>
            </w:pPr>
            <w:r w:rsidRPr="00E24FB4">
              <w:rPr>
                <w:sz w:val="18"/>
                <w:szCs w:val="18"/>
                <w:lang w:eastAsia="en-IN"/>
              </w:rPr>
              <w:t>28</w:t>
            </w:r>
          </w:p>
        </w:tc>
        <w:tc>
          <w:tcPr>
            <w:tcW w:w="741" w:type="dxa"/>
            <w:tcBorders>
              <w:top w:val="nil"/>
              <w:left w:val="nil"/>
              <w:bottom w:val="single" w:sz="8" w:space="0" w:color="auto"/>
              <w:right w:val="single" w:sz="8" w:space="0" w:color="auto"/>
            </w:tcBorders>
            <w:shd w:val="clear" w:color="auto" w:fill="auto"/>
            <w:vAlign w:val="center"/>
            <w:hideMark/>
          </w:tcPr>
          <w:p w14:paraId="3034A654" w14:textId="77777777" w:rsidR="002B463F" w:rsidRPr="00E24FB4" w:rsidRDefault="002B463F" w:rsidP="006D0E44">
            <w:pPr>
              <w:jc w:val="right"/>
              <w:rPr>
                <w:sz w:val="18"/>
                <w:szCs w:val="18"/>
                <w:lang w:eastAsia="en-IN"/>
              </w:rPr>
            </w:pPr>
            <w:r w:rsidRPr="00E24FB4">
              <w:rPr>
                <w:sz w:val="18"/>
                <w:szCs w:val="18"/>
                <w:lang w:eastAsia="en-IN"/>
              </w:rPr>
              <w:t>27</w:t>
            </w:r>
          </w:p>
        </w:tc>
        <w:tc>
          <w:tcPr>
            <w:tcW w:w="741" w:type="dxa"/>
            <w:tcBorders>
              <w:top w:val="nil"/>
              <w:left w:val="nil"/>
              <w:bottom w:val="single" w:sz="8" w:space="0" w:color="auto"/>
              <w:right w:val="single" w:sz="8" w:space="0" w:color="auto"/>
            </w:tcBorders>
            <w:shd w:val="clear" w:color="auto" w:fill="auto"/>
            <w:vAlign w:val="center"/>
            <w:hideMark/>
          </w:tcPr>
          <w:p w14:paraId="6EDDB13D" w14:textId="77777777" w:rsidR="002B463F" w:rsidRPr="00E24FB4" w:rsidRDefault="002B463F" w:rsidP="006D0E44">
            <w:pPr>
              <w:jc w:val="right"/>
              <w:rPr>
                <w:sz w:val="18"/>
                <w:szCs w:val="18"/>
                <w:lang w:eastAsia="en-IN"/>
              </w:rPr>
            </w:pPr>
            <w:r w:rsidRPr="00E24FB4">
              <w:rPr>
                <w:sz w:val="18"/>
                <w:szCs w:val="18"/>
                <w:lang w:eastAsia="en-IN"/>
              </w:rPr>
              <w:t>58</w:t>
            </w:r>
          </w:p>
        </w:tc>
        <w:tc>
          <w:tcPr>
            <w:tcW w:w="741" w:type="dxa"/>
            <w:tcBorders>
              <w:top w:val="nil"/>
              <w:left w:val="nil"/>
              <w:bottom w:val="single" w:sz="8" w:space="0" w:color="auto"/>
              <w:right w:val="single" w:sz="8" w:space="0" w:color="auto"/>
            </w:tcBorders>
            <w:shd w:val="clear" w:color="auto" w:fill="auto"/>
            <w:vAlign w:val="center"/>
            <w:hideMark/>
          </w:tcPr>
          <w:p w14:paraId="49E5715D" w14:textId="77777777" w:rsidR="002B463F" w:rsidRPr="00E24FB4" w:rsidRDefault="002B463F" w:rsidP="006D0E44">
            <w:pPr>
              <w:jc w:val="right"/>
              <w:rPr>
                <w:sz w:val="18"/>
                <w:szCs w:val="18"/>
                <w:lang w:eastAsia="en-IN"/>
              </w:rPr>
            </w:pPr>
            <w:r w:rsidRPr="00E24FB4">
              <w:rPr>
                <w:sz w:val="18"/>
                <w:szCs w:val="18"/>
                <w:lang w:eastAsia="en-IN"/>
              </w:rPr>
              <w:t>117</w:t>
            </w:r>
          </w:p>
        </w:tc>
        <w:tc>
          <w:tcPr>
            <w:tcW w:w="741" w:type="dxa"/>
            <w:tcBorders>
              <w:top w:val="nil"/>
              <w:left w:val="nil"/>
              <w:bottom w:val="single" w:sz="8" w:space="0" w:color="auto"/>
              <w:right w:val="single" w:sz="8" w:space="0" w:color="auto"/>
            </w:tcBorders>
            <w:shd w:val="clear" w:color="auto" w:fill="auto"/>
            <w:vAlign w:val="center"/>
            <w:hideMark/>
          </w:tcPr>
          <w:p w14:paraId="023ACE89" w14:textId="77777777" w:rsidR="002B463F" w:rsidRPr="00E24FB4" w:rsidRDefault="002B463F" w:rsidP="006D0E44">
            <w:pPr>
              <w:jc w:val="right"/>
              <w:rPr>
                <w:sz w:val="18"/>
                <w:szCs w:val="18"/>
                <w:lang w:eastAsia="en-IN"/>
              </w:rPr>
            </w:pPr>
            <w:r w:rsidRPr="00E24FB4">
              <w:rPr>
                <w:sz w:val="18"/>
                <w:szCs w:val="18"/>
                <w:lang w:eastAsia="en-IN"/>
              </w:rPr>
              <w:t>121</w:t>
            </w:r>
          </w:p>
        </w:tc>
        <w:tc>
          <w:tcPr>
            <w:tcW w:w="740" w:type="dxa"/>
            <w:tcBorders>
              <w:top w:val="nil"/>
              <w:left w:val="nil"/>
              <w:bottom w:val="single" w:sz="8" w:space="0" w:color="auto"/>
              <w:right w:val="single" w:sz="8" w:space="0" w:color="auto"/>
            </w:tcBorders>
            <w:shd w:val="clear" w:color="auto" w:fill="auto"/>
            <w:vAlign w:val="center"/>
            <w:hideMark/>
          </w:tcPr>
          <w:p w14:paraId="251217C4" w14:textId="77777777" w:rsidR="002B463F" w:rsidRPr="00E24FB4" w:rsidRDefault="002B463F" w:rsidP="006D0E44">
            <w:pPr>
              <w:jc w:val="right"/>
              <w:rPr>
                <w:sz w:val="18"/>
                <w:szCs w:val="18"/>
                <w:lang w:eastAsia="en-IN"/>
              </w:rPr>
            </w:pPr>
            <w:r w:rsidRPr="00E24FB4">
              <w:rPr>
                <w:sz w:val="18"/>
                <w:szCs w:val="18"/>
                <w:lang w:eastAsia="en-IN"/>
              </w:rPr>
              <w:t>126</w:t>
            </w:r>
          </w:p>
        </w:tc>
        <w:tc>
          <w:tcPr>
            <w:tcW w:w="741" w:type="dxa"/>
            <w:tcBorders>
              <w:top w:val="nil"/>
              <w:left w:val="nil"/>
              <w:bottom w:val="single" w:sz="8" w:space="0" w:color="auto"/>
              <w:right w:val="single" w:sz="8" w:space="0" w:color="auto"/>
            </w:tcBorders>
            <w:shd w:val="clear" w:color="auto" w:fill="auto"/>
            <w:vAlign w:val="center"/>
            <w:hideMark/>
          </w:tcPr>
          <w:p w14:paraId="4226844F" w14:textId="77777777" w:rsidR="002B463F" w:rsidRPr="00E24FB4" w:rsidRDefault="002B463F" w:rsidP="006D0E44">
            <w:pPr>
              <w:jc w:val="right"/>
              <w:rPr>
                <w:sz w:val="18"/>
                <w:szCs w:val="18"/>
                <w:lang w:eastAsia="en-IN"/>
              </w:rPr>
            </w:pPr>
            <w:r w:rsidRPr="00E24FB4">
              <w:rPr>
                <w:sz w:val="18"/>
                <w:szCs w:val="18"/>
                <w:lang w:eastAsia="en-IN"/>
              </w:rPr>
              <w:t>153</w:t>
            </w:r>
          </w:p>
        </w:tc>
        <w:tc>
          <w:tcPr>
            <w:tcW w:w="741" w:type="dxa"/>
            <w:tcBorders>
              <w:top w:val="nil"/>
              <w:left w:val="nil"/>
              <w:bottom w:val="single" w:sz="8" w:space="0" w:color="auto"/>
              <w:right w:val="single" w:sz="8" w:space="0" w:color="auto"/>
            </w:tcBorders>
            <w:shd w:val="clear" w:color="auto" w:fill="auto"/>
            <w:vAlign w:val="center"/>
            <w:hideMark/>
          </w:tcPr>
          <w:p w14:paraId="5AAEADD4" w14:textId="77777777" w:rsidR="002B463F" w:rsidRPr="00E24FB4" w:rsidRDefault="002B463F" w:rsidP="006D0E44">
            <w:pPr>
              <w:jc w:val="right"/>
              <w:rPr>
                <w:sz w:val="18"/>
                <w:szCs w:val="18"/>
                <w:lang w:eastAsia="en-IN"/>
              </w:rPr>
            </w:pPr>
            <w:r w:rsidRPr="00E24FB4">
              <w:rPr>
                <w:sz w:val="18"/>
                <w:szCs w:val="18"/>
                <w:lang w:eastAsia="en-IN"/>
              </w:rPr>
              <w:t>165</w:t>
            </w:r>
          </w:p>
        </w:tc>
        <w:tc>
          <w:tcPr>
            <w:tcW w:w="741" w:type="dxa"/>
            <w:tcBorders>
              <w:top w:val="nil"/>
              <w:left w:val="nil"/>
              <w:bottom w:val="single" w:sz="8" w:space="0" w:color="auto"/>
              <w:right w:val="single" w:sz="8" w:space="0" w:color="auto"/>
            </w:tcBorders>
            <w:shd w:val="clear" w:color="auto" w:fill="auto"/>
            <w:vAlign w:val="center"/>
            <w:hideMark/>
          </w:tcPr>
          <w:p w14:paraId="7A4F83C4" w14:textId="77777777" w:rsidR="002B463F" w:rsidRPr="00E24FB4" w:rsidRDefault="002B463F" w:rsidP="006D0E44">
            <w:pPr>
              <w:jc w:val="right"/>
              <w:rPr>
                <w:sz w:val="18"/>
                <w:szCs w:val="18"/>
                <w:lang w:eastAsia="en-IN"/>
              </w:rPr>
            </w:pPr>
            <w:r w:rsidRPr="00E24FB4">
              <w:rPr>
                <w:sz w:val="18"/>
                <w:szCs w:val="18"/>
                <w:lang w:eastAsia="en-IN"/>
              </w:rPr>
              <w:t>225</w:t>
            </w:r>
          </w:p>
        </w:tc>
        <w:tc>
          <w:tcPr>
            <w:tcW w:w="1274" w:type="dxa"/>
            <w:tcBorders>
              <w:top w:val="nil"/>
              <w:left w:val="nil"/>
              <w:bottom w:val="single" w:sz="8" w:space="0" w:color="auto"/>
              <w:right w:val="single" w:sz="8" w:space="0" w:color="auto"/>
            </w:tcBorders>
            <w:shd w:val="clear" w:color="auto" w:fill="auto"/>
            <w:vAlign w:val="center"/>
            <w:hideMark/>
          </w:tcPr>
          <w:p w14:paraId="577EE9AB" w14:textId="77777777" w:rsidR="002B463F" w:rsidRPr="00E24FB4" w:rsidRDefault="002B463F" w:rsidP="006D0E44">
            <w:pPr>
              <w:jc w:val="right"/>
              <w:rPr>
                <w:sz w:val="18"/>
                <w:szCs w:val="18"/>
                <w:lang w:eastAsia="en-IN"/>
              </w:rPr>
            </w:pPr>
            <w:r w:rsidRPr="00E24FB4">
              <w:rPr>
                <w:sz w:val="18"/>
                <w:szCs w:val="18"/>
                <w:lang w:eastAsia="en-IN"/>
              </w:rPr>
              <w:t>30%</w:t>
            </w:r>
          </w:p>
        </w:tc>
      </w:tr>
      <w:tr w:rsidR="00E24FB4" w:rsidRPr="00E24FB4" w14:paraId="0E5E7E40" w14:textId="77777777" w:rsidTr="00CE2BAE">
        <w:trPr>
          <w:trHeight w:val="127"/>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69475AFC" w14:textId="77777777" w:rsidR="002B463F" w:rsidRPr="00E24FB4" w:rsidRDefault="002B463F" w:rsidP="006D0E44">
            <w:pPr>
              <w:rPr>
                <w:sz w:val="18"/>
                <w:szCs w:val="18"/>
                <w:lang w:eastAsia="en-IN"/>
              </w:rPr>
            </w:pPr>
            <w:r w:rsidRPr="00E24FB4">
              <w:rPr>
                <w:sz w:val="18"/>
                <w:szCs w:val="18"/>
                <w:lang w:eastAsia="en-IN"/>
              </w:rPr>
              <w:t>Sales to group cos</w:t>
            </w:r>
          </w:p>
        </w:tc>
        <w:tc>
          <w:tcPr>
            <w:tcW w:w="740" w:type="dxa"/>
            <w:tcBorders>
              <w:top w:val="nil"/>
              <w:left w:val="nil"/>
              <w:bottom w:val="single" w:sz="8" w:space="0" w:color="auto"/>
              <w:right w:val="single" w:sz="8" w:space="0" w:color="auto"/>
            </w:tcBorders>
            <w:shd w:val="clear" w:color="auto" w:fill="auto"/>
            <w:vAlign w:val="center"/>
            <w:hideMark/>
          </w:tcPr>
          <w:p w14:paraId="717A730D" w14:textId="77777777" w:rsidR="002B463F" w:rsidRPr="00E24FB4" w:rsidRDefault="002B463F" w:rsidP="006D0E44">
            <w:pPr>
              <w:jc w:val="right"/>
              <w:rPr>
                <w:sz w:val="18"/>
                <w:szCs w:val="18"/>
                <w:lang w:eastAsia="en-IN"/>
              </w:rPr>
            </w:pPr>
            <w:r w:rsidRPr="00E24FB4">
              <w:rPr>
                <w:sz w:val="18"/>
                <w:szCs w:val="18"/>
                <w:lang w:eastAsia="en-IN"/>
              </w:rPr>
              <w:t>19</w:t>
            </w:r>
          </w:p>
        </w:tc>
        <w:tc>
          <w:tcPr>
            <w:tcW w:w="741" w:type="dxa"/>
            <w:tcBorders>
              <w:top w:val="nil"/>
              <w:left w:val="nil"/>
              <w:bottom w:val="single" w:sz="8" w:space="0" w:color="auto"/>
              <w:right w:val="single" w:sz="8" w:space="0" w:color="auto"/>
            </w:tcBorders>
            <w:shd w:val="clear" w:color="auto" w:fill="auto"/>
            <w:vAlign w:val="center"/>
            <w:hideMark/>
          </w:tcPr>
          <w:p w14:paraId="019C9D15" w14:textId="77777777" w:rsidR="002B463F" w:rsidRPr="00E24FB4" w:rsidRDefault="002B463F" w:rsidP="006D0E44">
            <w:pPr>
              <w:jc w:val="right"/>
              <w:rPr>
                <w:sz w:val="18"/>
                <w:szCs w:val="18"/>
                <w:lang w:eastAsia="en-IN"/>
              </w:rPr>
            </w:pPr>
            <w:r w:rsidRPr="00E24FB4">
              <w:rPr>
                <w:sz w:val="18"/>
                <w:szCs w:val="18"/>
                <w:lang w:eastAsia="en-IN"/>
              </w:rPr>
              <w:t>18</w:t>
            </w:r>
          </w:p>
        </w:tc>
        <w:tc>
          <w:tcPr>
            <w:tcW w:w="741" w:type="dxa"/>
            <w:tcBorders>
              <w:top w:val="nil"/>
              <w:left w:val="nil"/>
              <w:bottom w:val="single" w:sz="8" w:space="0" w:color="auto"/>
              <w:right w:val="single" w:sz="8" w:space="0" w:color="auto"/>
            </w:tcBorders>
            <w:shd w:val="clear" w:color="auto" w:fill="auto"/>
            <w:vAlign w:val="center"/>
            <w:hideMark/>
          </w:tcPr>
          <w:p w14:paraId="7042DCB5" w14:textId="77777777" w:rsidR="002B463F" w:rsidRPr="00E24FB4" w:rsidRDefault="002B463F" w:rsidP="006D0E44">
            <w:pPr>
              <w:jc w:val="right"/>
              <w:rPr>
                <w:sz w:val="18"/>
                <w:szCs w:val="18"/>
                <w:lang w:eastAsia="en-IN"/>
              </w:rPr>
            </w:pPr>
            <w:r w:rsidRPr="00E24FB4">
              <w:rPr>
                <w:sz w:val="18"/>
                <w:szCs w:val="18"/>
                <w:lang w:eastAsia="en-IN"/>
              </w:rPr>
              <w:t>26</w:t>
            </w:r>
          </w:p>
        </w:tc>
        <w:tc>
          <w:tcPr>
            <w:tcW w:w="741" w:type="dxa"/>
            <w:tcBorders>
              <w:top w:val="nil"/>
              <w:left w:val="nil"/>
              <w:bottom w:val="single" w:sz="8" w:space="0" w:color="auto"/>
              <w:right w:val="single" w:sz="8" w:space="0" w:color="auto"/>
            </w:tcBorders>
            <w:shd w:val="clear" w:color="auto" w:fill="auto"/>
            <w:vAlign w:val="center"/>
            <w:hideMark/>
          </w:tcPr>
          <w:p w14:paraId="501A00CB" w14:textId="77777777" w:rsidR="002B463F" w:rsidRPr="00E24FB4" w:rsidRDefault="002B463F" w:rsidP="006D0E44">
            <w:pPr>
              <w:jc w:val="right"/>
              <w:rPr>
                <w:sz w:val="18"/>
                <w:szCs w:val="18"/>
                <w:lang w:eastAsia="en-IN"/>
              </w:rPr>
            </w:pPr>
            <w:r w:rsidRPr="00E24FB4">
              <w:rPr>
                <w:sz w:val="18"/>
                <w:szCs w:val="18"/>
                <w:lang w:eastAsia="en-IN"/>
              </w:rPr>
              <w:t>64</w:t>
            </w:r>
          </w:p>
        </w:tc>
        <w:tc>
          <w:tcPr>
            <w:tcW w:w="741" w:type="dxa"/>
            <w:tcBorders>
              <w:top w:val="nil"/>
              <w:left w:val="nil"/>
              <w:bottom w:val="single" w:sz="8" w:space="0" w:color="auto"/>
              <w:right w:val="single" w:sz="8" w:space="0" w:color="auto"/>
            </w:tcBorders>
            <w:shd w:val="clear" w:color="auto" w:fill="auto"/>
            <w:vAlign w:val="center"/>
            <w:hideMark/>
          </w:tcPr>
          <w:p w14:paraId="109D467D" w14:textId="77777777" w:rsidR="002B463F" w:rsidRPr="00E24FB4" w:rsidRDefault="002B463F" w:rsidP="006D0E44">
            <w:pPr>
              <w:jc w:val="right"/>
              <w:rPr>
                <w:sz w:val="18"/>
                <w:szCs w:val="18"/>
                <w:lang w:eastAsia="en-IN"/>
              </w:rPr>
            </w:pPr>
            <w:r w:rsidRPr="00E24FB4">
              <w:rPr>
                <w:sz w:val="18"/>
                <w:szCs w:val="18"/>
                <w:lang w:eastAsia="en-IN"/>
              </w:rPr>
              <w:t>125</w:t>
            </w:r>
          </w:p>
        </w:tc>
        <w:tc>
          <w:tcPr>
            <w:tcW w:w="740" w:type="dxa"/>
            <w:tcBorders>
              <w:top w:val="nil"/>
              <w:left w:val="nil"/>
              <w:bottom w:val="single" w:sz="8" w:space="0" w:color="auto"/>
              <w:right w:val="single" w:sz="8" w:space="0" w:color="auto"/>
            </w:tcBorders>
            <w:shd w:val="clear" w:color="auto" w:fill="auto"/>
            <w:vAlign w:val="center"/>
            <w:hideMark/>
          </w:tcPr>
          <w:p w14:paraId="7CA5DB9C" w14:textId="77777777" w:rsidR="002B463F" w:rsidRPr="00E24FB4" w:rsidRDefault="002B463F" w:rsidP="006D0E44">
            <w:pPr>
              <w:jc w:val="right"/>
              <w:rPr>
                <w:sz w:val="18"/>
                <w:szCs w:val="18"/>
                <w:lang w:eastAsia="en-IN"/>
              </w:rPr>
            </w:pPr>
            <w:r w:rsidRPr="00E24FB4">
              <w:rPr>
                <w:sz w:val="18"/>
                <w:szCs w:val="18"/>
                <w:lang w:eastAsia="en-IN"/>
              </w:rPr>
              <w:t>127</w:t>
            </w:r>
          </w:p>
        </w:tc>
        <w:tc>
          <w:tcPr>
            <w:tcW w:w="741" w:type="dxa"/>
            <w:tcBorders>
              <w:top w:val="nil"/>
              <w:left w:val="nil"/>
              <w:bottom w:val="single" w:sz="8" w:space="0" w:color="auto"/>
              <w:right w:val="single" w:sz="8" w:space="0" w:color="auto"/>
            </w:tcBorders>
            <w:shd w:val="clear" w:color="auto" w:fill="auto"/>
            <w:vAlign w:val="center"/>
            <w:hideMark/>
          </w:tcPr>
          <w:p w14:paraId="01E6E457" w14:textId="77777777" w:rsidR="002B463F" w:rsidRPr="00E24FB4" w:rsidRDefault="002B463F" w:rsidP="006D0E44">
            <w:pPr>
              <w:jc w:val="right"/>
              <w:rPr>
                <w:sz w:val="18"/>
                <w:szCs w:val="18"/>
                <w:lang w:eastAsia="en-IN"/>
              </w:rPr>
            </w:pPr>
            <w:r w:rsidRPr="00E24FB4">
              <w:rPr>
                <w:sz w:val="18"/>
                <w:szCs w:val="18"/>
                <w:lang w:eastAsia="en-IN"/>
              </w:rPr>
              <w:t>165</w:t>
            </w:r>
          </w:p>
        </w:tc>
        <w:tc>
          <w:tcPr>
            <w:tcW w:w="741" w:type="dxa"/>
            <w:tcBorders>
              <w:top w:val="nil"/>
              <w:left w:val="nil"/>
              <w:bottom w:val="single" w:sz="8" w:space="0" w:color="auto"/>
              <w:right w:val="single" w:sz="8" w:space="0" w:color="auto"/>
            </w:tcBorders>
            <w:shd w:val="clear" w:color="auto" w:fill="auto"/>
            <w:vAlign w:val="center"/>
            <w:hideMark/>
          </w:tcPr>
          <w:p w14:paraId="11D28A0B" w14:textId="77777777" w:rsidR="002B463F" w:rsidRPr="00E24FB4" w:rsidRDefault="002B463F" w:rsidP="006D0E44">
            <w:pPr>
              <w:jc w:val="right"/>
              <w:rPr>
                <w:sz w:val="18"/>
                <w:szCs w:val="18"/>
                <w:lang w:eastAsia="en-IN"/>
              </w:rPr>
            </w:pPr>
            <w:r w:rsidRPr="00E24FB4">
              <w:rPr>
                <w:sz w:val="18"/>
                <w:szCs w:val="18"/>
                <w:lang w:eastAsia="en-IN"/>
              </w:rPr>
              <w:t>170</w:t>
            </w:r>
          </w:p>
        </w:tc>
        <w:tc>
          <w:tcPr>
            <w:tcW w:w="741" w:type="dxa"/>
            <w:tcBorders>
              <w:top w:val="nil"/>
              <w:left w:val="nil"/>
              <w:bottom w:val="single" w:sz="8" w:space="0" w:color="auto"/>
              <w:right w:val="single" w:sz="8" w:space="0" w:color="auto"/>
            </w:tcBorders>
            <w:shd w:val="clear" w:color="auto" w:fill="auto"/>
            <w:vAlign w:val="center"/>
            <w:hideMark/>
          </w:tcPr>
          <w:p w14:paraId="55067075" w14:textId="77777777" w:rsidR="002B463F" w:rsidRPr="00E24FB4" w:rsidRDefault="002B463F" w:rsidP="006D0E44">
            <w:pPr>
              <w:jc w:val="right"/>
              <w:rPr>
                <w:sz w:val="18"/>
                <w:szCs w:val="18"/>
                <w:lang w:eastAsia="en-IN"/>
              </w:rPr>
            </w:pPr>
            <w:r w:rsidRPr="00E24FB4">
              <w:rPr>
                <w:sz w:val="18"/>
                <w:szCs w:val="18"/>
                <w:lang w:eastAsia="en-IN"/>
              </w:rPr>
              <w:t>226</w:t>
            </w:r>
          </w:p>
        </w:tc>
        <w:tc>
          <w:tcPr>
            <w:tcW w:w="1274" w:type="dxa"/>
            <w:tcBorders>
              <w:top w:val="nil"/>
              <w:left w:val="nil"/>
              <w:bottom w:val="single" w:sz="8" w:space="0" w:color="auto"/>
              <w:right w:val="single" w:sz="8" w:space="0" w:color="auto"/>
            </w:tcBorders>
            <w:shd w:val="clear" w:color="auto" w:fill="auto"/>
            <w:vAlign w:val="center"/>
            <w:hideMark/>
          </w:tcPr>
          <w:p w14:paraId="73152CA4" w14:textId="77777777" w:rsidR="002B463F" w:rsidRPr="00E24FB4" w:rsidRDefault="002B463F" w:rsidP="006D0E44">
            <w:pPr>
              <w:jc w:val="right"/>
              <w:rPr>
                <w:sz w:val="18"/>
                <w:szCs w:val="18"/>
                <w:lang w:eastAsia="en-IN"/>
              </w:rPr>
            </w:pPr>
            <w:r w:rsidRPr="00E24FB4">
              <w:rPr>
                <w:sz w:val="18"/>
                <w:szCs w:val="18"/>
                <w:lang w:eastAsia="en-IN"/>
              </w:rPr>
              <w:t>36%</w:t>
            </w:r>
          </w:p>
        </w:tc>
      </w:tr>
      <w:tr w:rsidR="00E24FB4" w:rsidRPr="00E24FB4" w14:paraId="3F4698E3" w14:textId="77777777" w:rsidTr="00CE2BAE">
        <w:trPr>
          <w:trHeight w:val="188"/>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5A1E1BAA" w14:textId="77777777" w:rsidR="002B463F" w:rsidRPr="00E24FB4" w:rsidRDefault="002B463F" w:rsidP="006D0E44">
            <w:pPr>
              <w:rPr>
                <w:sz w:val="18"/>
                <w:szCs w:val="18"/>
                <w:lang w:eastAsia="en-IN"/>
              </w:rPr>
            </w:pPr>
            <w:r w:rsidRPr="00E24FB4">
              <w:rPr>
                <w:sz w:val="18"/>
                <w:szCs w:val="18"/>
                <w:lang w:eastAsia="en-IN"/>
              </w:rPr>
              <w:t>Domestic Sales</w:t>
            </w:r>
          </w:p>
        </w:tc>
        <w:tc>
          <w:tcPr>
            <w:tcW w:w="740" w:type="dxa"/>
            <w:tcBorders>
              <w:top w:val="nil"/>
              <w:left w:val="nil"/>
              <w:bottom w:val="single" w:sz="8" w:space="0" w:color="auto"/>
              <w:right w:val="single" w:sz="8" w:space="0" w:color="auto"/>
            </w:tcBorders>
            <w:shd w:val="clear" w:color="auto" w:fill="auto"/>
            <w:vAlign w:val="center"/>
            <w:hideMark/>
          </w:tcPr>
          <w:p w14:paraId="50182E5C" w14:textId="77777777" w:rsidR="002B463F" w:rsidRPr="00E24FB4" w:rsidRDefault="002B463F" w:rsidP="006D0E44">
            <w:pPr>
              <w:jc w:val="right"/>
              <w:rPr>
                <w:sz w:val="18"/>
                <w:szCs w:val="18"/>
                <w:lang w:eastAsia="en-IN"/>
              </w:rPr>
            </w:pPr>
            <w:r w:rsidRPr="00E24FB4">
              <w:rPr>
                <w:sz w:val="18"/>
                <w:szCs w:val="18"/>
                <w:lang w:eastAsia="en-IN"/>
              </w:rPr>
              <w:t>45</w:t>
            </w:r>
          </w:p>
        </w:tc>
        <w:tc>
          <w:tcPr>
            <w:tcW w:w="741" w:type="dxa"/>
            <w:tcBorders>
              <w:top w:val="nil"/>
              <w:left w:val="nil"/>
              <w:bottom w:val="single" w:sz="8" w:space="0" w:color="auto"/>
              <w:right w:val="single" w:sz="8" w:space="0" w:color="auto"/>
            </w:tcBorders>
            <w:shd w:val="clear" w:color="auto" w:fill="auto"/>
            <w:vAlign w:val="center"/>
            <w:hideMark/>
          </w:tcPr>
          <w:p w14:paraId="4AB764F3" w14:textId="77777777" w:rsidR="002B463F" w:rsidRPr="00E24FB4" w:rsidRDefault="002B463F" w:rsidP="006D0E44">
            <w:pPr>
              <w:jc w:val="right"/>
              <w:rPr>
                <w:sz w:val="18"/>
                <w:szCs w:val="18"/>
                <w:lang w:eastAsia="en-IN"/>
              </w:rPr>
            </w:pPr>
            <w:r w:rsidRPr="00E24FB4">
              <w:rPr>
                <w:sz w:val="18"/>
                <w:szCs w:val="18"/>
                <w:lang w:eastAsia="en-IN"/>
              </w:rPr>
              <w:t>94</w:t>
            </w:r>
          </w:p>
        </w:tc>
        <w:tc>
          <w:tcPr>
            <w:tcW w:w="741" w:type="dxa"/>
            <w:tcBorders>
              <w:top w:val="nil"/>
              <w:left w:val="nil"/>
              <w:bottom w:val="single" w:sz="8" w:space="0" w:color="auto"/>
              <w:right w:val="single" w:sz="8" w:space="0" w:color="auto"/>
            </w:tcBorders>
            <w:shd w:val="clear" w:color="auto" w:fill="auto"/>
            <w:vAlign w:val="center"/>
            <w:hideMark/>
          </w:tcPr>
          <w:p w14:paraId="78A89CD5" w14:textId="77777777" w:rsidR="002B463F" w:rsidRPr="00E24FB4" w:rsidRDefault="002B463F" w:rsidP="006D0E44">
            <w:pPr>
              <w:jc w:val="right"/>
              <w:rPr>
                <w:sz w:val="18"/>
                <w:szCs w:val="18"/>
                <w:lang w:eastAsia="en-IN"/>
              </w:rPr>
            </w:pPr>
            <w:r w:rsidRPr="00E24FB4">
              <w:rPr>
                <w:sz w:val="18"/>
                <w:szCs w:val="18"/>
                <w:lang w:eastAsia="en-IN"/>
              </w:rPr>
              <w:t>102</w:t>
            </w:r>
          </w:p>
        </w:tc>
        <w:tc>
          <w:tcPr>
            <w:tcW w:w="741" w:type="dxa"/>
            <w:tcBorders>
              <w:top w:val="nil"/>
              <w:left w:val="nil"/>
              <w:bottom w:val="single" w:sz="8" w:space="0" w:color="auto"/>
              <w:right w:val="single" w:sz="8" w:space="0" w:color="auto"/>
            </w:tcBorders>
            <w:shd w:val="clear" w:color="auto" w:fill="auto"/>
            <w:vAlign w:val="center"/>
            <w:hideMark/>
          </w:tcPr>
          <w:p w14:paraId="7795A06B" w14:textId="77777777" w:rsidR="002B463F" w:rsidRPr="00E24FB4" w:rsidRDefault="002B463F" w:rsidP="006D0E44">
            <w:pPr>
              <w:jc w:val="right"/>
              <w:rPr>
                <w:sz w:val="18"/>
                <w:szCs w:val="18"/>
                <w:lang w:eastAsia="en-IN"/>
              </w:rPr>
            </w:pPr>
            <w:r w:rsidRPr="00E24FB4">
              <w:rPr>
                <w:sz w:val="18"/>
                <w:szCs w:val="18"/>
                <w:lang w:eastAsia="en-IN"/>
              </w:rPr>
              <w:t>177</w:t>
            </w:r>
          </w:p>
        </w:tc>
        <w:tc>
          <w:tcPr>
            <w:tcW w:w="741" w:type="dxa"/>
            <w:tcBorders>
              <w:top w:val="nil"/>
              <w:left w:val="nil"/>
              <w:bottom w:val="single" w:sz="8" w:space="0" w:color="auto"/>
              <w:right w:val="single" w:sz="8" w:space="0" w:color="auto"/>
            </w:tcBorders>
            <w:shd w:val="clear" w:color="auto" w:fill="auto"/>
            <w:vAlign w:val="center"/>
            <w:hideMark/>
          </w:tcPr>
          <w:p w14:paraId="4238319E" w14:textId="77777777" w:rsidR="002B463F" w:rsidRPr="00E24FB4" w:rsidRDefault="002B463F" w:rsidP="006D0E44">
            <w:pPr>
              <w:jc w:val="right"/>
              <w:rPr>
                <w:sz w:val="18"/>
                <w:szCs w:val="18"/>
                <w:lang w:eastAsia="en-IN"/>
              </w:rPr>
            </w:pPr>
            <w:r w:rsidRPr="00E24FB4">
              <w:rPr>
                <w:sz w:val="18"/>
                <w:szCs w:val="18"/>
                <w:lang w:eastAsia="en-IN"/>
              </w:rPr>
              <w:t>189</w:t>
            </w:r>
          </w:p>
        </w:tc>
        <w:tc>
          <w:tcPr>
            <w:tcW w:w="740" w:type="dxa"/>
            <w:tcBorders>
              <w:top w:val="nil"/>
              <w:left w:val="nil"/>
              <w:bottom w:val="single" w:sz="8" w:space="0" w:color="auto"/>
              <w:right w:val="single" w:sz="8" w:space="0" w:color="auto"/>
            </w:tcBorders>
            <w:shd w:val="clear" w:color="auto" w:fill="auto"/>
            <w:vAlign w:val="center"/>
            <w:hideMark/>
          </w:tcPr>
          <w:p w14:paraId="00D440E9" w14:textId="77777777" w:rsidR="002B463F" w:rsidRPr="00E24FB4" w:rsidRDefault="002B463F" w:rsidP="006D0E44">
            <w:pPr>
              <w:jc w:val="right"/>
              <w:rPr>
                <w:sz w:val="18"/>
                <w:szCs w:val="18"/>
                <w:lang w:eastAsia="en-IN"/>
              </w:rPr>
            </w:pPr>
            <w:r w:rsidRPr="00E24FB4">
              <w:rPr>
                <w:sz w:val="18"/>
                <w:szCs w:val="18"/>
                <w:lang w:eastAsia="en-IN"/>
              </w:rPr>
              <w:t>199</w:t>
            </w:r>
          </w:p>
        </w:tc>
        <w:tc>
          <w:tcPr>
            <w:tcW w:w="741" w:type="dxa"/>
            <w:tcBorders>
              <w:top w:val="nil"/>
              <w:left w:val="nil"/>
              <w:bottom w:val="single" w:sz="8" w:space="0" w:color="auto"/>
              <w:right w:val="single" w:sz="8" w:space="0" w:color="auto"/>
            </w:tcBorders>
            <w:shd w:val="clear" w:color="auto" w:fill="auto"/>
            <w:vAlign w:val="center"/>
            <w:hideMark/>
          </w:tcPr>
          <w:p w14:paraId="69CADB32" w14:textId="77777777" w:rsidR="002B463F" w:rsidRPr="00E24FB4" w:rsidRDefault="002B463F" w:rsidP="006D0E44">
            <w:pPr>
              <w:jc w:val="right"/>
              <w:rPr>
                <w:sz w:val="18"/>
                <w:szCs w:val="18"/>
                <w:lang w:eastAsia="en-IN"/>
              </w:rPr>
            </w:pPr>
            <w:r w:rsidRPr="00E24FB4">
              <w:rPr>
                <w:sz w:val="18"/>
                <w:szCs w:val="18"/>
                <w:lang w:eastAsia="en-IN"/>
              </w:rPr>
              <w:t>295</w:t>
            </w:r>
          </w:p>
        </w:tc>
        <w:tc>
          <w:tcPr>
            <w:tcW w:w="741" w:type="dxa"/>
            <w:tcBorders>
              <w:top w:val="nil"/>
              <w:left w:val="nil"/>
              <w:bottom w:val="single" w:sz="8" w:space="0" w:color="auto"/>
              <w:right w:val="single" w:sz="8" w:space="0" w:color="auto"/>
            </w:tcBorders>
            <w:shd w:val="clear" w:color="auto" w:fill="auto"/>
            <w:vAlign w:val="center"/>
            <w:hideMark/>
          </w:tcPr>
          <w:p w14:paraId="264801FB" w14:textId="77777777" w:rsidR="002B463F" w:rsidRPr="00E24FB4" w:rsidRDefault="002B463F" w:rsidP="006D0E44">
            <w:pPr>
              <w:jc w:val="right"/>
              <w:rPr>
                <w:sz w:val="18"/>
                <w:szCs w:val="18"/>
                <w:lang w:eastAsia="en-IN"/>
              </w:rPr>
            </w:pPr>
            <w:r w:rsidRPr="00E24FB4">
              <w:rPr>
                <w:sz w:val="18"/>
                <w:szCs w:val="18"/>
                <w:lang w:eastAsia="en-IN"/>
              </w:rPr>
              <w:t>474</w:t>
            </w:r>
          </w:p>
        </w:tc>
        <w:tc>
          <w:tcPr>
            <w:tcW w:w="741" w:type="dxa"/>
            <w:tcBorders>
              <w:top w:val="nil"/>
              <w:left w:val="nil"/>
              <w:bottom w:val="single" w:sz="8" w:space="0" w:color="auto"/>
              <w:right w:val="single" w:sz="8" w:space="0" w:color="auto"/>
            </w:tcBorders>
            <w:shd w:val="clear" w:color="auto" w:fill="auto"/>
            <w:vAlign w:val="center"/>
            <w:hideMark/>
          </w:tcPr>
          <w:p w14:paraId="3380BFF1" w14:textId="77777777" w:rsidR="002B463F" w:rsidRPr="00E24FB4" w:rsidRDefault="002B463F" w:rsidP="006D0E44">
            <w:pPr>
              <w:jc w:val="right"/>
              <w:rPr>
                <w:sz w:val="18"/>
                <w:szCs w:val="18"/>
                <w:lang w:eastAsia="en-IN"/>
              </w:rPr>
            </w:pPr>
            <w:r w:rsidRPr="00E24FB4">
              <w:rPr>
                <w:sz w:val="18"/>
                <w:szCs w:val="18"/>
                <w:lang w:eastAsia="en-IN"/>
              </w:rPr>
              <w:t>544</w:t>
            </w:r>
          </w:p>
        </w:tc>
        <w:tc>
          <w:tcPr>
            <w:tcW w:w="1274" w:type="dxa"/>
            <w:tcBorders>
              <w:top w:val="nil"/>
              <w:left w:val="nil"/>
              <w:bottom w:val="single" w:sz="8" w:space="0" w:color="auto"/>
              <w:right w:val="single" w:sz="8" w:space="0" w:color="auto"/>
            </w:tcBorders>
            <w:shd w:val="clear" w:color="auto" w:fill="auto"/>
            <w:vAlign w:val="center"/>
            <w:hideMark/>
          </w:tcPr>
          <w:p w14:paraId="6D505E82" w14:textId="77777777" w:rsidR="002B463F" w:rsidRPr="00E24FB4" w:rsidRDefault="002B463F" w:rsidP="006D0E44">
            <w:pPr>
              <w:jc w:val="right"/>
              <w:rPr>
                <w:sz w:val="18"/>
                <w:szCs w:val="18"/>
                <w:lang w:eastAsia="en-IN"/>
              </w:rPr>
            </w:pPr>
            <w:r w:rsidRPr="00E24FB4">
              <w:rPr>
                <w:sz w:val="18"/>
                <w:szCs w:val="18"/>
                <w:lang w:eastAsia="en-IN"/>
              </w:rPr>
              <w:t>37%</w:t>
            </w:r>
          </w:p>
        </w:tc>
      </w:tr>
      <w:tr w:rsidR="00E24FB4" w:rsidRPr="00E24FB4" w14:paraId="37FEE7F3" w14:textId="77777777" w:rsidTr="00CE2BAE">
        <w:trPr>
          <w:trHeight w:val="10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12641974" w14:textId="77777777" w:rsidR="002B463F" w:rsidRPr="00E24FB4" w:rsidRDefault="002B463F" w:rsidP="006D0E44">
            <w:pPr>
              <w:rPr>
                <w:sz w:val="18"/>
                <w:szCs w:val="18"/>
                <w:lang w:eastAsia="en-IN"/>
              </w:rPr>
            </w:pPr>
            <w:r w:rsidRPr="00E24FB4">
              <w:rPr>
                <w:sz w:val="18"/>
                <w:szCs w:val="18"/>
                <w:lang w:eastAsia="en-IN"/>
              </w:rPr>
              <w:t>Total</w:t>
            </w:r>
          </w:p>
        </w:tc>
        <w:tc>
          <w:tcPr>
            <w:tcW w:w="740" w:type="dxa"/>
            <w:tcBorders>
              <w:top w:val="nil"/>
              <w:left w:val="nil"/>
              <w:bottom w:val="single" w:sz="8" w:space="0" w:color="auto"/>
              <w:right w:val="single" w:sz="8" w:space="0" w:color="auto"/>
            </w:tcBorders>
            <w:shd w:val="clear" w:color="auto" w:fill="auto"/>
            <w:vAlign w:val="center"/>
            <w:hideMark/>
          </w:tcPr>
          <w:p w14:paraId="25313A94" w14:textId="77777777" w:rsidR="002B463F" w:rsidRPr="00E24FB4" w:rsidRDefault="002B463F" w:rsidP="006D0E44">
            <w:pPr>
              <w:jc w:val="right"/>
              <w:rPr>
                <w:sz w:val="18"/>
                <w:szCs w:val="18"/>
                <w:lang w:eastAsia="en-IN"/>
              </w:rPr>
            </w:pPr>
            <w:r w:rsidRPr="00E24FB4">
              <w:rPr>
                <w:sz w:val="18"/>
                <w:szCs w:val="18"/>
                <w:lang w:eastAsia="en-IN"/>
              </w:rPr>
              <w:t>92</w:t>
            </w:r>
          </w:p>
        </w:tc>
        <w:tc>
          <w:tcPr>
            <w:tcW w:w="741" w:type="dxa"/>
            <w:tcBorders>
              <w:top w:val="nil"/>
              <w:left w:val="nil"/>
              <w:bottom w:val="single" w:sz="8" w:space="0" w:color="auto"/>
              <w:right w:val="single" w:sz="8" w:space="0" w:color="auto"/>
            </w:tcBorders>
            <w:shd w:val="clear" w:color="auto" w:fill="auto"/>
            <w:vAlign w:val="center"/>
            <w:hideMark/>
          </w:tcPr>
          <w:p w14:paraId="6CA10585" w14:textId="77777777" w:rsidR="002B463F" w:rsidRPr="00E24FB4" w:rsidRDefault="002B463F" w:rsidP="006D0E44">
            <w:pPr>
              <w:jc w:val="right"/>
              <w:rPr>
                <w:sz w:val="18"/>
                <w:szCs w:val="18"/>
                <w:lang w:eastAsia="en-IN"/>
              </w:rPr>
            </w:pPr>
            <w:r w:rsidRPr="00E24FB4">
              <w:rPr>
                <w:sz w:val="18"/>
                <w:szCs w:val="18"/>
                <w:lang w:eastAsia="en-IN"/>
              </w:rPr>
              <w:t>139</w:t>
            </w:r>
          </w:p>
        </w:tc>
        <w:tc>
          <w:tcPr>
            <w:tcW w:w="741" w:type="dxa"/>
            <w:tcBorders>
              <w:top w:val="nil"/>
              <w:left w:val="nil"/>
              <w:bottom w:val="single" w:sz="8" w:space="0" w:color="auto"/>
              <w:right w:val="single" w:sz="8" w:space="0" w:color="auto"/>
            </w:tcBorders>
            <w:shd w:val="clear" w:color="auto" w:fill="auto"/>
            <w:vAlign w:val="center"/>
            <w:hideMark/>
          </w:tcPr>
          <w:p w14:paraId="785DC3A3" w14:textId="77777777" w:rsidR="002B463F" w:rsidRPr="00E24FB4" w:rsidRDefault="002B463F" w:rsidP="006D0E44">
            <w:pPr>
              <w:jc w:val="right"/>
              <w:rPr>
                <w:sz w:val="18"/>
                <w:szCs w:val="18"/>
                <w:lang w:eastAsia="en-IN"/>
              </w:rPr>
            </w:pPr>
            <w:r w:rsidRPr="00E24FB4">
              <w:rPr>
                <w:sz w:val="18"/>
                <w:szCs w:val="18"/>
                <w:lang w:eastAsia="en-IN"/>
              </w:rPr>
              <w:t>186</w:t>
            </w:r>
          </w:p>
        </w:tc>
        <w:tc>
          <w:tcPr>
            <w:tcW w:w="741" w:type="dxa"/>
            <w:tcBorders>
              <w:top w:val="nil"/>
              <w:left w:val="nil"/>
              <w:bottom w:val="single" w:sz="8" w:space="0" w:color="auto"/>
              <w:right w:val="single" w:sz="8" w:space="0" w:color="auto"/>
            </w:tcBorders>
            <w:shd w:val="clear" w:color="auto" w:fill="auto"/>
            <w:vAlign w:val="center"/>
            <w:hideMark/>
          </w:tcPr>
          <w:p w14:paraId="40273C07" w14:textId="77777777" w:rsidR="002B463F" w:rsidRPr="00E24FB4" w:rsidRDefault="002B463F" w:rsidP="006D0E44">
            <w:pPr>
              <w:jc w:val="right"/>
              <w:rPr>
                <w:sz w:val="18"/>
                <w:szCs w:val="18"/>
                <w:lang w:eastAsia="en-IN"/>
              </w:rPr>
            </w:pPr>
            <w:r w:rsidRPr="00E24FB4">
              <w:rPr>
                <w:sz w:val="18"/>
                <w:szCs w:val="18"/>
                <w:lang w:eastAsia="en-IN"/>
              </w:rPr>
              <w:t>358</w:t>
            </w:r>
          </w:p>
        </w:tc>
        <w:tc>
          <w:tcPr>
            <w:tcW w:w="741" w:type="dxa"/>
            <w:tcBorders>
              <w:top w:val="nil"/>
              <w:left w:val="nil"/>
              <w:bottom w:val="single" w:sz="8" w:space="0" w:color="auto"/>
              <w:right w:val="single" w:sz="8" w:space="0" w:color="auto"/>
            </w:tcBorders>
            <w:shd w:val="clear" w:color="auto" w:fill="auto"/>
            <w:vAlign w:val="center"/>
            <w:hideMark/>
          </w:tcPr>
          <w:p w14:paraId="3C369D1A" w14:textId="77777777" w:rsidR="002B463F" w:rsidRPr="00E24FB4" w:rsidRDefault="002B463F" w:rsidP="006D0E44">
            <w:pPr>
              <w:jc w:val="right"/>
              <w:rPr>
                <w:sz w:val="18"/>
                <w:szCs w:val="18"/>
                <w:lang w:eastAsia="en-IN"/>
              </w:rPr>
            </w:pPr>
            <w:r w:rsidRPr="00E24FB4">
              <w:rPr>
                <w:sz w:val="18"/>
                <w:szCs w:val="18"/>
                <w:lang w:eastAsia="en-IN"/>
              </w:rPr>
              <w:t>435</w:t>
            </w:r>
          </w:p>
        </w:tc>
        <w:tc>
          <w:tcPr>
            <w:tcW w:w="740" w:type="dxa"/>
            <w:tcBorders>
              <w:top w:val="nil"/>
              <w:left w:val="nil"/>
              <w:bottom w:val="single" w:sz="8" w:space="0" w:color="auto"/>
              <w:right w:val="single" w:sz="8" w:space="0" w:color="auto"/>
            </w:tcBorders>
            <w:shd w:val="clear" w:color="auto" w:fill="auto"/>
            <w:vAlign w:val="center"/>
            <w:hideMark/>
          </w:tcPr>
          <w:p w14:paraId="1635D001" w14:textId="77777777" w:rsidR="002B463F" w:rsidRPr="00E24FB4" w:rsidRDefault="002B463F" w:rsidP="006D0E44">
            <w:pPr>
              <w:jc w:val="right"/>
              <w:rPr>
                <w:sz w:val="18"/>
                <w:szCs w:val="18"/>
                <w:lang w:eastAsia="en-IN"/>
              </w:rPr>
            </w:pPr>
            <w:r w:rsidRPr="00E24FB4">
              <w:rPr>
                <w:sz w:val="18"/>
                <w:szCs w:val="18"/>
                <w:lang w:eastAsia="en-IN"/>
              </w:rPr>
              <w:t>452</w:t>
            </w:r>
          </w:p>
        </w:tc>
        <w:tc>
          <w:tcPr>
            <w:tcW w:w="741" w:type="dxa"/>
            <w:tcBorders>
              <w:top w:val="nil"/>
              <w:left w:val="nil"/>
              <w:bottom w:val="single" w:sz="8" w:space="0" w:color="auto"/>
              <w:right w:val="single" w:sz="8" w:space="0" w:color="auto"/>
            </w:tcBorders>
            <w:shd w:val="clear" w:color="auto" w:fill="auto"/>
            <w:vAlign w:val="center"/>
            <w:hideMark/>
          </w:tcPr>
          <w:p w14:paraId="29797CDF" w14:textId="77777777" w:rsidR="002B463F" w:rsidRPr="00E24FB4" w:rsidRDefault="002B463F" w:rsidP="006D0E44">
            <w:pPr>
              <w:jc w:val="right"/>
              <w:rPr>
                <w:sz w:val="18"/>
                <w:szCs w:val="18"/>
                <w:lang w:eastAsia="en-IN"/>
              </w:rPr>
            </w:pPr>
            <w:r w:rsidRPr="00E24FB4">
              <w:rPr>
                <w:sz w:val="18"/>
                <w:szCs w:val="18"/>
                <w:lang w:eastAsia="en-IN"/>
              </w:rPr>
              <w:t>613</w:t>
            </w:r>
          </w:p>
        </w:tc>
        <w:tc>
          <w:tcPr>
            <w:tcW w:w="741" w:type="dxa"/>
            <w:tcBorders>
              <w:top w:val="nil"/>
              <w:left w:val="nil"/>
              <w:bottom w:val="single" w:sz="8" w:space="0" w:color="auto"/>
              <w:right w:val="single" w:sz="8" w:space="0" w:color="auto"/>
            </w:tcBorders>
            <w:shd w:val="clear" w:color="auto" w:fill="auto"/>
            <w:vAlign w:val="center"/>
            <w:hideMark/>
          </w:tcPr>
          <w:p w14:paraId="34B84DEE" w14:textId="77777777" w:rsidR="002B463F" w:rsidRPr="00E24FB4" w:rsidRDefault="002B463F" w:rsidP="006D0E44">
            <w:pPr>
              <w:jc w:val="right"/>
              <w:rPr>
                <w:sz w:val="18"/>
                <w:szCs w:val="18"/>
                <w:lang w:eastAsia="en-IN"/>
              </w:rPr>
            </w:pPr>
            <w:r w:rsidRPr="00E24FB4">
              <w:rPr>
                <w:sz w:val="18"/>
                <w:szCs w:val="18"/>
                <w:lang w:eastAsia="en-IN"/>
              </w:rPr>
              <w:t>809</w:t>
            </w:r>
          </w:p>
        </w:tc>
        <w:tc>
          <w:tcPr>
            <w:tcW w:w="741" w:type="dxa"/>
            <w:tcBorders>
              <w:top w:val="nil"/>
              <w:left w:val="nil"/>
              <w:bottom w:val="single" w:sz="8" w:space="0" w:color="auto"/>
              <w:right w:val="single" w:sz="8" w:space="0" w:color="auto"/>
            </w:tcBorders>
            <w:shd w:val="clear" w:color="auto" w:fill="auto"/>
            <w:vAlign w:val="center"/>
            <w:hideMark/>
          </w:tcPr>
          <w:p w14:paraId="1D9271EA" w14:textId="77777777" w:rsidR="002B463F" w:rsidRPr="00E24FB4" w:rsidRDefault="002B463F" w:rsidP="006D0E44">
            <w:pPr>
              <w:jc w:val="right"/>
              <w:rPr>
                <w:sz w:val="18"/>
                <w:szCs w:val="18"/>
                <w:lang w:eastAsia="en-IN"/>
              </w:rPr>
            </w:pPr>
            <w:r w:rsidRPr="00E24FB4">
              <w:rPr>
                <w:sz w:val="18"/>
                <w:szCs w:val="18"/>
                <w:lang w:eastAsia="en-IN"/>
              </w:rPr>
              <w:t>995</w:t>
            </w:r>
          </w:p>
        </w:tc>
        <w:tc>
          <w:tcPr>
            <w:tcW w:w="1274" w:type="dxa"/>
            <w:tcBorders>
              <w:top w:val="nil"/>
              <w:left w:val="nil"/>
              <w:bottom w:val="single" w:sz="8" w:space="0" w:color="auto"/>
              <w:right w:val="single" w:sz="8" w:space="0" w:color="auto"/>
            </w:tcBorders>
            <w:shd w:val="clear" w:color="auto" w:fill="auto"/>
            <w:vAlign w:val="center"/>
            <w:hideMark/>
          </w:tcPr>
          <w:p w14:paraId="1628D84E" w14:textId="77777777" w:rsidR="002B463F" w:rsidRPr="00E24FB4" w:rsidRDefault="002B463F" w:rsidP="006D0E44">
            <w:pPr>
              <w:jc w:val="right"/>
              <w:rPr>
                <w:sz w:val="18"/>
                <w:szCs w:val="18"/>
                <w:lang w:eastAsia="en-IN"/>
              </w:rPr>
            </w:pPr>
            <w:r w:rsidRPr="00E24FB4">
              <w:rPr>
                <w:sz w:val="18"/>
                <w:szCs w:val="18"/>
                <w:lang w:eastAsia="en-IN"/>
              </w:rPr>
              <w:t>35%</w:t>
            </w:r>
          </w:p>
        </w:tc>
      </w:tr>
    </w:tbl>
    <w:p w14:paraId="7A9885E9" w14:textId="76129730" w:rsidR="002B463F" w:rsidRPr="00E24FB4" w:rsidRDefault="002B463F" w:rsidP="00436A87">
      <w:pPr>
        <w:pStyle w:val="NormalWeb"/>
        <w:numPr>
          <w:ilvl w:val="0"/>
          <w:numId w:val="14"/>
        </w:numPr>
        <w:shd w:val="clear" w:color="auto" w:fill="FFFFFF"/>
        <w:spacing w:before="0" w:beforeAutospacing="0" w:after="0" w:afterAutospacing="0" w:line="276" w:lineRule="auto"/>
        <w:jc w:val="both"/>
        <w:rPr>
          <w:sz w:val="20"/>
          <w:szCs w:val="20"/>
        </w:rPr>
      </w:pPr>
      <w:r w:rsidRPr="00E24FB4">
        <w:rPr>
          <w:sz w:val="20"/>
          <w:szCs w:val="20"/>
        </w:rPr>
        <w:t>The high growth in domestic sales also includes higher sales to domestic arms of the MNCs. The supply to MNCs is both in the export and domestic market.</w:t>
      </w:r>
    </w:p>
    <w:p w14:paraId="4856424A" w14:textId="3DB5EE74" w:rsidR="002B463F" w:rsidRPr="00E24FB4" w:rsidRDefault="002B463F" w:rsidP="00436A87">
      <w:pPr>
        <w:pStyle w:val="ListParagraph"/>
        <w:numPr>
          <w:ilvl w:val="0"/>
          <w:numId w:val="14"/>
        </w:numPr>
        <w:shd w:val="clear" w:color="auto" w:fill="FFFFFF"/>
        <w:spacing w:before="100" w:beforeAutospacing="1" w:after="100" w:afterAutospacing="1"/>
        <w:jc w:val="both"/>
        <w:rPr>
          <w:sz w:val="20"/>
          <w:szCs w:val="20"/>
          <w:lang w:eastAsia="en-IN"/>
        </w:rPr>
      </w:pPr>
      <w:r w:rsidRPr="00E24FB4">
        <w:rPr>
          <w:rStyle w:val="Strong"/>
          <w:b w:val="0"/>
          <w:bCs w:val="0"/>
          <w:i/>
          <w:iCs/>
          <w:sz w:val="20"/>
          <w:szCs w:val="20"/>
          <w:shd w:val="clear" w:color="auto" w:fill="FFFFFF"/>
        </w:rPr>
        <w:t>Long term composition of revenues</w:t>
      </w:r>
      <w:r w:rsidRPr="00E24FB4">
        <w:rPr>
          <w:b/>
          <w:bCs/>
          <w:i/>
          <w:iCs/>
          <w:sz w:val="20"/>
          <w:szCs w:val="20"/>
          <w:shd w:val="clear" w:color="auto" w:fill="FFFFFF"/>
        </w:rPr>
        <w:t>:</w:t>
      </w:r>
      <w:r w:rsidRPr="00E24FB4">
        <w:rPr>
          <w:sz w:val="20"/>
          <w:szCs w:val="20"/>
          <w:shd w:val="clear" w:color="auto" w:fill="FFFFFF"/>
        </w:rPr>
        <w:t xml:space="preserve"> </w:t>
      </w:r>
      <w:r w:rsidRPr="00E24FB4">
        <w:rPr>
          <w:sz w:val="20"/>
          <w:szCs w:val="20"/>
          <w:lang w:eastAsia="en-IN"/>
        </w:rPr>
        <w:t>Currently, MNC (largely Japan / Europe) constitutes c. 20% of the total revenues of the company, which the management wants to increase to 40% through strategic alliances/long term contracts over the medium to long term. Balance is expected to be contributed by domestic and export segment equally.</w:t>
      </w:r>
    </w:p>
    <w:p w14:paraId="0789B9A0" w14:textId="7AC6CF83" w:rsidR="0058219D" w:rsidRPr="00E24FB4" w:rsidRDefault="0058219D" w:rsidP="00436A87">
      <w:pPr>
        <w:pStyle w:val="ListParagraph"/>
        <w:numPr>
          <w:ilvl w:val="0"/>
          <w:numId w:val="14"/>
        </w:numPr>
        <w:shd w:val="clear" w:color="auto" w:fill="FFFFFF"/>
        <w:spacing w:before="100" w:beforeAutospacing="1" w:after="100" w:afterAutospacing="1"/>
        <w:jc w:val="both"/>
        <w:rPr>
          <w:sz w:val="20"/>
          <w:szCs w:val="20"/>
          <w:lang w:eastAsia="en-IN"/>
        </w:rPr>
      </w:pPr>
      <w:r w:rsidRPr="00E24FB4">
        <w:rPr>
          <w:rStyle w:val="Strong"/>
          <w:b w:val="0"/>
          <w:bCs w:val="0"/>
          <w:sz w:val="20"/>
          <w:szCs w:val="20"/>
          <w:shd w:val="clear" w:color="auto" w:fill="FFFFFF"/>
        </w:rPr>
        <w:t xml:space="preserve">In Feb 20, BR has entered into a </w:t>
      </w:r>
      <w:r w:rsidR="0005167E" w:rsidRPr="00E24FB4">
        <w:rPr>
          <w:rStyle w:val="Strong"/>
          <w:b w:val="0"/>
          <w:bCs w:val="0"/>
          <w:sz w:val="20"/>
          <w:szCs w:val="20"/>
          <w:shd w:val="clear" w:color="auto" w:fill="FFFFFF"/>
        </w:rPr>
        <w:t xml:space="preserve">30:70 </w:t>
      </w:r>
      <w:r w:rsidRPr="00E24FB4">
        <w:rPr>
          <w:rStyle w:val="Strong"/>
          <w:b w:val="0"/>
          <w:bCs w:val="0"/>
          <w:sz w:val="20"/>
          <w:szCs w:val="20"/>
          <w:shd w:val="clear" w:color="auto" w:fill="FFFFFF"/>
        </w:rPr>
        <w:t>JV with Nissan Chemical Corporation (NCC) –</w:t>
      </w:r>
      <w:r w:rsidRPr="00E24FB4">
        <w:rPr>
          <w:sz w:val="20"/>
          <w:szCs w:val="20"/>
          <w:lang w:eastAsia="en-IN"/>
        </w:rPr>
        <w:t xml:space="preserve"> named Nissan Bharat </w:t>
      </w:r>
      <w:proofErr w:type="spellStart"/>
      <w:r w:rsidRPr="00E24FB4">
        <w:rPr>
          <w:sz w:val="20"/>
          <w:szCs w:val="20"/>
          <w:lang w:eastAsia="en-IN"/>
        </w:rPr>
        <w:t>Rasayan</w:t>
      </w:r>
      <w:proofErr w:type="spellEnd"/>
      <w:r w:rsidRPr="00E24FB4">
        <w:rPr>
          <w:sz w:val="20"/>
          <w:szCs w:val="20"/>
          <w:lang w:eastAsia="en-IN"/>
        </w:rPr>
        <w:t xml:space="preserve"> Private Limited which will start a new manufacturing factory in India for technical products.</w:t>
      </w:r>
    </w:p>
    <w:p w14:paraId="3039FA75" w14:textId="77777777" w:rsidR="002B463F" w:rsidRPr="00E24FB4" w:rsidRDefault="002B463F" w:rsidP="00436A87">
      <w:pPr>
        <w:numPr>
          <w:ilvl w:val="0"/>
          <w:numId w:val="14"/>
        </w:numPr>
        <w:shd w:val="clear" w:color="auto" w:fill="FFFFFF"/>
        <w:spacing w:before="100" w:beforeAutospacing="1" w:after="100" w:afterAutospacing="1"/>
        <w:jc w:val="both"/>
        <w:rPr>
          <w:sz w:val="20"/>
          <w:szCs w:val="20"/>
          <w:lang w:eastAsia="en-IN"/>
        </w:rPr>
      </w:pPr>
      <w:r w:rsidRPr="00E24FB4">
        <w:rPr>
          <w:sz w:val="20"/>
          <w:szCs w:val="20"/>
          <w:lang w:eastAsia="en-IN"/>
        </w:rPr>
        <w:lastRenderedPageBreak/>
        <w:t xml:space="preserve">Major customers include Bayer, </w:t>
      </w:r>
      <w:proofErr w:type="spellStart"/>
      <w:r w:rsidRPr="00E24FB4">
        <w:rPr>
          <w:sz w:val="20"/>
          <w:szCs w:val="20"/>
          <w:lang w:eastAsia="en-IN"/>
        </w:rPr>
        <w:t>Sygenta</w:t>
      </w:r>
      <w:proofErr w:type="spellEnd"/>
      <w:r w:rsidRPr="00E24FB4">
        <w:rPr>
          <w:sz w:val="20"/>
          <w:szCs w:val="20"/>
          <w:lang w:eastAsia="en-IN"/>
        </w:rPr>
        <w:t xml:space="preserve">, Nissan, </w:t>
      </w:r>
      <w:proofErr w:type="spellStart"/>
      <w:r w:rsidRPr="00E24FB4">
        <w:rPr>
          <w:sz w:val="20"/>
          <w:szCs w:val="20"/>
          <w:lang w:eastAsia="en-IN"/>
        </w:rPr>
        <w:t>Adama</w:t>
      </w:r>
      <w:proofErr w:type="spellEnd"/>
      <w:r w:rsidRPr="00E24FB4">
        <w:rPr>
          <w:sz w:val="20"/>
          <w:szCs w:val="20"/>
          <w:lang w:eastAsia="en-IN"/>
        </w:rPr>
        <w:t xml:space="preserve"> India, UPL.</w:t>
      </w:r>
    </w:p>
    <w:p w14:paraId="04E68CA9" w14:textId="127747D6" w:rsidR="002B463F" w:rsidRPr="00E24FB4" w:rsidRDefault="002B463F" w:rsidP="00436A87">
      <w:pPr>
        <w:pStyle w:val="ListParagraph"/>
        <w:numPr>
          <w:ilvl w:val="0"/>
          <w:numId w:val="14"/>
        </w:numPr>
        <w:jc w:val="both"/>
        <w:rPr>
          <w:sz w:val="20"/>
          <w:szCs w:val="20"/>
          <w:lang w:val="en-US"/>
        </w:rPr>
      </w:pPr>
      <w:r w:rsidRPr="00E24FB4">
        <w:rPr>
          <w:sz w:val="20"/>
          <w:szCs w:val="20"/>
          <w:lang w:eastAsia="en-IN"/>
        </w:rPr>
        <w:t>BRL generated ~ 35% revenue from its top 3 customers, 35% sales in FY18, 25% in FY17 and 22% in FY16 from its Top 5 customers.</w:t>
      </w:r>
    </w:p>
    <w:p w14:paraId="28624A2B" w14:textId="01271278" w:rsidR="002B463F" w:rsidRPr="00E24FB4" w:rsidRDefault="002B463F" w:rsidP="00436A87">
      <w:pPr>
        <w:pStyle w:val="ListParagraph"/>
        <w:numPr>
          <w:ilvl w:val="0"/>
          <w:numId w:val="14"/>
        </w:numPr>
        <w:jc w:val="both"/>
        <w:rPr>
          <w:sz w:val="20"/>
          <w:szCs w:val="20"/>
          <w:lang w:val="en-US"/>
        </w:rPr>
      </w:pPr>
      <w:r w:rsidRPr="00E24FB4">
        <w:rPr>
          <w:sz w:val="20"/>
          <w:szCs w:val="20"/>
          <w:shd w:val="clear" w:color="auto" w:fill="FFFFFF"/>
        </w:rPr>
        <w:t xml:space="preserve">BRL’s imports are c. </w:t>
      </w:r>
      <w:r w:rsidR="003E6608" w:rsidRPr="00E24FB4">
        <w:rPr>
          <w:sz w:val="20"/>
          <w:szCs w:val="20"/>
          <w:shd w:val="clear" w:color="auto" w:fill="FFFFFF"/>
        </w:rPr>
        <w:t>68</w:t>
      </w:r>
      <w:r w:rsidRPr="00E24FB4">
        <w:rPr>
          <w:sz w:val="20"/>
          <w:szCs w:val="20"/>
          <w:shd w:val="clear" w:color="auto" w:fill="FFFFFF"/>
        </w:rPr>
        <w:t xml:space="preserve">% of total RM in FY 19 </w:t>
      </w:r>
    </w:p>
    <w:p w14:paraId="7CBB6892" w14:textId="77777777" w:rsidR="00F83767" w:rsidRPr="00E24FB4" w:rsidRDefault="00F83767" w:rsidP="00436A87">
      <w:pPr>
        <w:pStyle w:val="ListParagraph"/>
        <w:numPr>
          <w:ilvl w:val="0"/>
          <w:numId w:val="14"/>
        </w:numPr>
        <w:shd w:val="clear" w:color="auto" w:fill="FFFFFF"/>
        <w:spacing w:before="100" w:beforeAutospacing="1" w:after="100" w:afterAutospacing="1"/>
        <w:jc w:val="both"/>
        <w:rPr>
          <w:rStyle w:val="Strong"/>
          <w:b w:val="0"/>
          <w:bCs w:val="0"/>
          <w:sz w:val="20"/>
          <w:szCs w:val="20"/>
          <w:shd w:val="clear" w:color="auto" w:fill="FFFFFF"/>
        </w:rPr>
      </w:pPr>
      <w:r w:rsidRPr="00E24FB4">
        <w:rPr>
          <w:rStyle w:val="Strong"/>
          <w:b w:val="0"/>
          <w:bCs w:val="0"/>
          <w:sz w:val="20"/>
          <w:szCs w:val="20"/>
          <w:shd w:val="clear" w:color="auto" w:fill="FFFFFF"/>
        </w:rPr>
        <w:t xml:space="preserve">The company has around 200 international registrations primarily in Asia and Middle East. Company tries to commercialize 2-3 products every year. </w:t>
      </w:r>
    </w:p>
    <w:p w14:paraId="3CA7AE30" w14:textId="77777777" w:rsidR="00F83767" w:rsidRPr="00E24FB4" w:rsidRDefault="00F83767" w:rsidP="00436A87">
      <w:pPr>
        <w:pStyle w:val="ListParagraph"/>
        <w:numPr>
          <w:ilvl w:val="0"/>
          <w:numId w:val="14"/>
        </w:numPr>
        <w:shd w:val="clear" w:color="auto" w:fill="FFFFFF"/>
        <w:spacing w:before="100" w:beforeAutospacing="1" w:after="100" w:afterAutospacing="1"/>
        <w:jc w:val="both"/>
        <w:rPr>
          <w:rStyle w:val="Strong"/>
          <w:b w:val="0"/>
          <w:bCs w:val="0"/>
          <w:sz w:val="20"/>
          <w:szCs w:val="20"/>
          <w:shd w:val="clear" w:color="auto" w:fill="FFFFFF"/>
        </w:rPr>
      </w:pPr>
      <w:r w:rsidRPr="00E24FB4">
        <w:rPr>
          <w:rStyle w:val="Strong"/>
          <w:b w:val="0"/>
          <w:bCs w:val="0"/>
          <w:sz w:val="20"/>
          <w:szCs w:val="20"/>
          <w:shd w:val="clear" w:color="auto" w:fill="FFFFFF"/>
        </w:rPr>
        <w:t xml:space="preserve">The company foraying into Brazil markets where they have filed 5-7 products (at cost of c. Rs 5-7 </w:t>
      </w:r>
      <w:proofErr w:type="spellStart"/>
      <w:r w:rsidRPr="00E24FB4">
        <w:rPr>
          <w:rStyle w:val="Strong"/>
          <w:b w:val="0"/>
          <w:bCs w:val="0"/>
          <w:sz w:val="20"/>
          <w:szCs w:val="20"/>
          <w:shd w:val="clear" w:color="auto" w:fill="FFFFFF"/>
        </w:rPr>
        <w:t>crs</w:t>
      </w:r>
      <w:proofErr w:type="spellEnd"/>
      <w:r w:rsidRPr="00E24FB4">
        <w:rPr>
          <w:rStyle w:val="Strong"/>
          <w:b w:val="0"/>
          <w:bCs w:val="0"/>
          <w:sz w:val="20"/>
          <w:szCs w:val="20"/>
          <w:shd w:val="clear" w:color="auto" w:fill="FFFFFF"/>
        </w:rPr>
        <w:t xml:space="preserve"> each). Brazil is the largest agrochemical market in the world and in the medium term BRL expects to derive 10-15% revenues from it.</w:t>
      </w:r>
    </w:p>
    <w:p w14:paraId="0A4B57B3" w14:textId="67852A11" w:rsidR="00B04C5C" w:rsidRPr="00E24FB4" w:rsidRDefault="00B04C5C" w:rsidP="0005167E">
      <w:pPr>
        <w:pStyle w:val="NormalWeb"/>
        <w:shd w:val="clear" w:color="auto" w:fill="FFFFFF"/>
        <w:spacing w:before="0" w:beforeAutospacing="0" w:after="0" w:afterAutospacing="0"/>
        <w:jc w:val="both"/>
        <w:rPr>
          <w:rStyle w:val="Strong"/>
          <w:sz w:val="20"/>
          <w:szCs w:val="20"/>
        </w:rPr>
      </w:pPr>
      <w:r w:rsidRPr="00E24FB4">
        <w:rPr>
          <w:rStyle w:val="Strong"/>
          <w:sz w:val="20"/>
          <w:szCs w:val="20"/>
        </w:rPr>
        <w:t>Capex plans:</w:t>
      </w:r>
    </w:p>
    <w:p w14:paraId="7B6415DC" w14:textId="68F8193D" w:rsidR="00652D5F" w:rsidRPr="00E24FB4" w:rsidRDefault="00652D5F" w:rsidP="00436A87">
      <w:pPr>
        <w:pStyle w:val="NormalWeb"/>
        <w:numPr>
          <w:ilvl w:val="0"/>
          <w:numId w:val="14"/>
        </w:numPr>
        <w:shd w:val="clear" w:color="auto" w:fill="FFFFFF"/>
        <w:spacing w:before="0" w:beforeAutospacing="0" w:after="0" w:afterAutospacing="0"/>
        <w:ind w:left="357" w:hanging="357"/>
        <w:jc w:val="both"/>
        <w:rPr>
          <w:sz w:val="20"/>
          <w:szCs w:val="20"/>
        </w:rPr>
      </w:pPr>
      <w:proofErr w:type="spellStart"/>
      <w:r w:rsidRPr="00E24FB4">
        <w:rPr>
          <w:sz w:val="20"/>
          <w:szCs w:val="20"/>
        </w:rPr>
        <w:t>Dahej</w:t>
      </w:r>
      <w:proofErr w:type="spellEnd"/>
      <w:r w:rsidRPr="00E24FB4">
        <w:rPr>
          <w:sz w:val="20"/>
          <w:szCs w:val="20"/>
        </w:rPr>
        <w:t xml:space="preserve"> brownfield expansion - </w:t>
      </w:r>
      <w:proofErr w:type="spellStart"/>
      <w:r w:rsidR="00787644" w:rsidRPr="00E24FB4">
        <w:rPr>
          <w:sz w:val="20"/>
          <w:szCs w:val="20"/>
        </w:rPr>
        <w:t>Dahej</w:t>
      </w:r>
      <w:proofErr w:type="spellEnd"/>
      <w:r w:rsidR="00787644" w:rsidRPr="00E24FB4">
        <w:rPr>
          <w:sz w:val="20"/>
          <w:szCs w:val="20"/>
        </w:rPr>
        <w:t xml:space="preserve"> plant has 3 operational units (Unit - A, B &amp; C) and </w:t>
      </w:r>
      <w:r w:rsidRPr="00E24FB4">
        <w:rPr>
          <w:sz w:val="20"/>
          <w:szCs w:val="20"/>
        </w:rPr>
        <w:t xml:space="preserve">Unit D </w:t>
      </w:r>
      <w:r w:rsidR="0005167E" w:rsidRPr="00E24FB4">
        <w:rPr>
          <w:sz w:val="20"/>
          <w:szCs w:val="20"/>
        </w:rPr>
        <w:t xml:space="preserve">is </w:t>
      </w:r>
      <w:r w:rsidR="00787644" w:rsidRPr="00E24FB4">
        <w:rPr>
          <w:sz w:val="20"/>
          <w:szCs w:val="20"/>
        </w:rPr>
        <w:t xml:space="preserve">under </w:t>
      </w:r>
      <w:r w:rsidRPr="00E24FB4">
        <w:rPr>
          <w:sz w:val="20"/>
          <w:szCs w:val="20"/>
        </w:rPr>
        <w:t>expansion (total size of capex - Rs.100 crore - started last year. Phase 1 - Completed in September, 2019; Phase 2 - Expected by March, 20</w:t>
      </w:r>
      <w:r w:rsidRPr="00A37281">
        <w:rPr>
          <w:sz w:val="20"/>
          <w:szCs w:val="20"/>
        </w:rPr>
        <w:t>20</w:t>
      </w:r>
      <w:r w:rsidR="00E24FB4" w:rsidRPr="00A37281">
        <w:rPr>
          <w:sz w:val="20"/>
          <w:szCs w:val="20"/>
        </w:rPr>
        <w:t>, latest update not available</w:t>
      </w:r>
      <w:r w:rsidRPr="00A37281">
        <w:rPr>
          <w:sz w:val="20"/>
          <w:szCs w:val="20"/>
        </w:rPr>
        <w:t>). The capex will be for intermediates and synthetic pyrethroids manufacturi</w:t>
      </w:r>
      <w:r w:rsidRPr="00E24FB4">
        <w:rPr>
          <w:sz w:val="20"/>
          <w:szCs w:val="20"/>
        </w:rPr>
        <w:t>ng. Apart from backward integration, the company will also sell these products to customers.</w:t>
      </w:r>
    </w:p>
    <w:p w14:paraId="01A47B5C" w14:textId="062F6FC8" w:rsidR="00652D5F" w:rsidRPr="00E24FB4" w:rsidRDefault="00652D5F" w:rsidP="00436A87">
      <w:pPr>
        <w:numPr>
          <w:ilvl w:val="0"/>
          <w:numId w:val="13"/>
        </w:numPr>
        <w:shd w:val="clear" w:color="auto" w:fill="FFFFFF"/>
        <w:jc w:val="both"/>
        <w:rPr>
          <w:sz w:val="20"/>
          <w:szCs w:val="20"/>
          <w:lang w:eastAsia="en-IN"/>
        </w:rPr>
      </w:pPr>
      <w:proofErr w:type="spellStart"/>
      <w:r w:rsidRPr="00E24FB4">
        <w:rPr>
          <w:sz w:val="20"/>
          <w:szCs w:val="20"/>
          <w:lang w:eastAsia="en-IN"/>
        </w:rPr>
        <w:t>Dahej</w:t>
      </w:r>
      <w:proofErr w:type="spellEnd"/>
      <w:r w:rsidRPr="00E24FB4">
        <w:rPr>
          <w:sz w:val="20"/>
          <w:szCs w:val="20"/>
          <w:lang w:eastAsia="en-IN"/>
        </w:rPr>
        <w:t xml:space="preserve"> - Unit E &amp; Unit F brownfield expansion (current status - EC approval yet to be received; expected shortly) - The capex will be for intermediates and expansion of existing capacity as well as introduction of new product</w:t>
      </w:r>
      <w:r w:rsidR="0005167E" w:rsidRPr="00E24FB4">
        <w:rPr>
          <w:sz w:val="20"/>
          <w:szCs w:val="20"/>
          <w:lang w:eastAsia="en-IN"/>
        </w:rPr>
        <w:t>s</w:t>
      </w:r>
      <w:r w:rsidRPr="00E24FB4">
        <w:rPr>
          <w:sz w:val="20"/>
          <w:szCs w:val="20"/>
          <w:lang w:eastAsia="en-IN"/>
        </w:rPr>
        <w:t xml:space="preserve"> As of now, company is planning to undertake Rs.50 crore capex in it during FY21. It might decide to go for further capex in future years based on future requirements. It will take 6 - 12 months to complete it.</w:t>
      </w:r>
      <w:r w:rsidRPr="00E24FB4">
        <w:rPr>
          <w:sz w:val="20"/>
          <w:szCs w:val="20"/>
          <w:lang w:eastAsia="en-IN"/>
        </w:rPr>
        <w:br/>
        <w:t xml:space="preserve">Capex at </w:t>
      </w:r>
      <w:proofErr w:type="spellStart"/>
      <w:r w:rsidRPr="00E24FB4">
        <w:rPr>
          <w:sz w:val="20"/>
          <w:szCs w:val="20"/>
          <w:lang w:eastAsia="en-IN"/>
        </w:rPr>
        <w:t>Dahej</w:t>
      </w:r>
      <w:proofErr w:type="spellEnd"/>
      <w:r w:rsidRPr="00E24FB4">
        <w:rPr>
          <w:sz w:val="20"/>
          <w:szCs w:val="20"/>
          <w:lang w:eastAsia="en-IN"/>
        </w:rPr>
        <w:t xml:space="preserve"> are all brownfield capex and asset turns are high as company will be utilising the existing infrastructure.</w:t>
      </w:r>
    </w:p>
    <w:p w14:paraId="057FCB7D" w14:textId="64D5BBB0" w:rsidR="00690EA7" w:rsidRPr="00E24FB4" w:rsidRDefault="00EF5B3D" w:rsidP="00436A87">
      <w:pPr>
        <w:numPr>
          <w:ilvl w:val="0"/>
          <w:numId w:val="13"/>
        </w:numPr>
        <w:shd w:val="clear" w:color="auto" w:fill="FFFFFF"/>
        <w:jc w:val="both"/>
        <w:rPr>
          <w:sz w:val="20"/>
          <w:szCs w:val="20"/>
          <w:lang w:eastAsia="en-IN"/>
        </w:rPr>
      </w:pPr>
      <w:proofErr w:type="spellStart"/>
      <w:r w:rsidRPr="00E24FB4">
        <w:rPr>
          <w:b/>
          <w:bCs/>
          <w:sz w:val="20"/>
          <w:szCs w:val="20"/>
          <w:lang w:eastAsia="en-IN"/>
        </w:rPr>
        <w:t>Saykha</w:t>
      </w:r>
      <w:proofErr w:type="spellEnd"/>
      <w:r w:rsidR="00FB359C" w:rsidRPr="00E24FB4">
        <w:rPr>
          <w:b/>
          <w:bCs/>
          <w:sz w:val="20"/>
          <w:szCs w:val="20"/>
          <w:lang w:eastAsia="en-IN"/>
        </w:rPr>
        <w:t xml:space="preserve"> expansion</w:t>
      </w:r>
      <w:r w:rsidR="00FB359C" w:rsidRPr="00E24FB4">
        <w:rPr>
          <w:sz w:val="20"/>
          <w:szCs w:val="20"/>
        </w:rPr>
        <w:t xml:space="preserve"> – Greenfield project over 10-acre land with expected cost of c. Rs 300 </w:t>
      </w:r>
      <w:proofErr w:type="spellStart"/>
      <w:r w:rsidR="00FB359C" w:rsidRPr="00E24FB4">
        <w:rPr>
          <w:sz w:val="20"/>
          <w:szCs w:val="20"/>
        </w:rPr>
        <w:t>crs</w:t>
      </w:r>
      <w:proofErr w:type="spellEnd"/>
      <w:r w:rsidR="00FB359C" w:rsidRPr="00E24FB4">
        <w:rPr>
          <w:sz w:val="20"/>
          <w:szCs w:val="20"/>
        </w:rPr>
        <w:t xml:space="preserve"> to be spent over 2-3 years in phases for new molecules and backward integration. </w:t>
      </w:r>
      <w:r w:rsidR="00787644" w:rsidRPr="00E24FB4">
        <w:rPr>
          <w:sz w:val="20"/>
          <w:szCs w:val="20"/>
        </w:rPr>
        <w:t xml:space="preserve">This is near company’s existing </w:t>
      </w:r>
      <w:proofErr w:type="spellStart"/>
      <w:r w:rsidR="00787644" w:rsidRPr="00E24FB4">
        <w:rPr>
          <w:sz w:val="20"/>
          <w:szCs w:val="20"/>
        </w:rPr>
        <w:t>Dahej</w:t>
      </w:r>
      <w:proofErr w:type="spellEnd"/>
      <w:r w:rsidR="00787644" w:rsidRPr="00E24FB4">
        <w:rPr>
          <w:sz w:val="20"/>
          <w:szCs w:val="20"/>
        </w:rPr>
        <w:t xml:space="preserve"> location. </w:t>
      </w:r>
      <w:proofErr w:type="spellStart"/>
      <w:r w:rsidR="00787644" w:rsidRPr="00E24FB4">
        <w:rPr>
          <w:sz w:val="20"/>
          <w:szCs w:val="20"/>
        </w:rPr>
        <w:t>Saykha’s</w:t>
      </w:r>
      <w:proofErr w:type="spellEnd"/>
      <w:r w:rsidR="00787644" w:rsidRPr="00E24FB4">
        <w:rPr>
          <w:sz w:val="20"/>
          <w:szCs w:val="20"/>
        </w:rPr>
        <w:t xml:space="preserve"> will help reducing the single plant risk for </w:t>
      </w:r>
      <w:proofErr w:type="spellStart"/>
      <w:r w:rsidR="00787644" w:rsidRPr="00E24FB4">
        <w:rPr>
          <w:sz w:val="20"/>
          <w:szCs w:val="20"/>
        </w:rPr>
        <w:t>Rasayan</w:t>
      </w:r>
      <w:proofErr w:type="spellEnd"/>
      <w:r w:rsidR="00787644" w:rsidRPr="00E24FB4">
        <w:rPr>
          <w:sz w:val="20"/>
          <w:szCs w:val="20"/>
        </w:rPr>
        <w:t xml:space="preserve"> (since Rohtak is relatively a smaller p</w:t>
      </w:r>
      <w:r w:rsidR="00787644" w:rsidRPr="00A37281">
        <w:rPr>
          <w:sz w:val="20"/>
          <w:szCs w:val="20"/>
        </w:rPr>
        <w:t xml:space="preserve">lant compared to </w:t>
      </w:r>
      <w:proofErr w:type="spellStart"/>
      <w:r w:rsidR="00787644" w:rsidRPr="00A37281">
        <w:rPr>
          <w:sz w:val="20"/>
          <w:szCs w:val="20"/>
        </w:rPr>
        <w:t>Dahej</w:t>
      </w:r>
      <w:proofErr w:type="spellEnd"/>
      <w:r w:rsidR="00787644" w:rsidRPr="00A37281">
        <w:rPr>
          <w:sz w:val="20"/>
          <w:szCs w:val="20"/>
        </w:rPr>
        <w:t xml:space="preserve">). </w:t>
      </w:r>
      <w:r w:rsidR="00FB359C" w:rsidRPr="00A37281">
        <w:rPr>
          <w:sz w:val="20"/>
          <w:szCs w:val="20"/>
        </w:rPr>
        <w:t>This will be in 15% tax bracket and will drive BRL’s earning growth over next 3-4 years.</w:t>
      </w:r>
      <w:r w:rsidR="00652D5F" w:rsidRPr="00A37281">
        <w:rPr>
          <w:sz w:val="20"/>
          <w:szCs w:val="20"/>
        </w:rPr>
        <w:t xml:space="preserve"> </w:t>
      </w:r>
      <w:r w:rsidR="00E24FB4" w:rsidRPr="00A37281">
        <w:rPr>
          <w:sz w:val="20"/>
          <w:szCs w:val="20"/>
        </w:rPr>
        <w:t>As per last update, e</w:t>
      </w:r>
      <w:r w:rsidR="00652D5F" w:rsidRPr="00A37281">
        <w:rPr>
          <w:sz w:val="20"/>
          <w:szCs w:val="20"/>
        </w:rPr>
        <w:t xml:space="preserve">nvironment clearance </w:t>
      </w:r>
      <w:r w:rsidR="00E24FB4" w:rsidRPr="00A37281">
        <w:rPr>
          <w:sz w:val="20"/>
          <w:szCs w:val="20"/>
        </w:rPr>
        <w:t xml:space="preserve">from central government was pending. </w:t>
      </w:r>
      <w:r w:rsidR="00652D5F" w:rsidRPr="00A37281">
        <w:rPr>
          <w:sz w:val="20"/>
          <w:szCs w:val="20"/>
        </w:rPr>
        <w:t xml:space="preserve">Phase 1 </w:t>
      </w:r>
      <w:r w:rsidR="00690EA7" w:rsidRPr="00A37281">
        <w:rPr>
          <w:sz w:val="20"/>
          <w:szCs w:val="20"/>
          <w:lang w:eastAsia="en-IN"/>
        </w:rPr>
        <w:t>is planned i</w:t>
      </w:r>
      <w:r w:rsidR="00690EA7" w:rsidRPr="00E24FB4">
        <w:rPr>
          <w:sz w:val="20"/>
          <w:szCs w:val="20"/>
          <w:lang w:eastAsia="en-IN"/>
        </w:rPr>
        <w:t>n FY21</w:t>
      </w:r>
      <w:r w:rsidR="00652D5F" w:rsidRPr="00E24FB4">
        <w:rPr>
          <w:sz w:val="20"/>
          <w:szCs w:val="20"/>
          <w:lang w:eastAsia="en-IN"/>
        </w:rPr>
        <w:t xml:space="preserve"> and c</w:t>
      </w:r>
      <w:r w:rsidR="00690EA7" w:rsidRPr="00E24FB4">
        <w:rPr>
          <w:sz w:val="20"/>
          <w:szCs w:val="20"/>
          <w:lang w:eastAsia="en-IN"/>
        </w:rPr>
        <w:t>ompany has already started working on utilities and some civil work for the project.</w:t>
      </w:r>
    </w:p>
    <w:p w14:paraId="6DCAAD7A" w14:textId="768E3211" w:rsidR="00E245CF" w:rsidRPr="00E24FB4" w:rsidRDefault="00690EA7" w:rsidP="0005167E">
      <w:pPr>
        <w:shd w:val="clear" w:color="auto" w:fill="FFFFFF"/>
        <w:jc w:val="both"/>
        <w:rPr>
          <w:sz w:val="20"/>
          <w:szCs w:val="20"/>
          <w:lang w:eastAsia="en-IN"/>
        </w:rPr>
      </w:pPr>
      <w:r w:rsidRPr="00E24FB4">
        <w:rPr>
          <w:sz w:val="20"/>
          <w:szCs w:val="20"/>
          <w:lang w:eastAsia="en-IN"/>
        </w:rPr>
        <w:t xml:space="preserve">The funding for </w:t>
      </w:r>
      <w:r w:rsidR="00652D5F" w:rsidRPr="00E24FB4">
        <w:rPr>
          <w:sz w:val="20"/>
          <w:szCs w:val="20"/>
          <w:lang w:eastAsia="en-IN"/>
        </w:rPr>
        <w:t xml:space="preserve">the above </w:t>
      </w:r>
      <w:r w:rsidRPr="00E24FB4">
        <w:rPr>
          <w:sz w:val="20"/>
          <w:szCs w:val="20"/>
          <w:lang w:eastAsia="en-IN"/>
        </w:rPr>
        <w:t xml:space="preserve">capex will be through mix of internal accruals and debt. </w:t>
      </w:r>
    </w:p>
    <w:p w14:paraId="7F37996F" w14:textId="77777777" w:rsidR="0005167E" w:rsidRPr="00E24FB4" w:rsidRDefault="0005167E" w:rsidP="0005167E">
      <w:pPr>
        <w:shd w:val="clear" w:color="auto" w:fill="FFFFFF"/>
        <w:jc w:val="both"/>
        <w:rPr>
          <w:b/>
          <w:bCs/>
          <w:sz w:val="20"/>
          <w:szCs w:val="20"/>
        </w:rPr>
      </w:pPr>
    </w:p>
    <w:tbl>
      <w:tblPr>
        <w:tblStyle w:val="TableGrid"/>
        <w:tblW w:w="0" w:type="auto"/>
        <w:tblLook w:val="04A0" w:firstRow="1" w:lastRow="0" w:firstColumn="1" w:lastColumn="0" w:noHBand="0" w:noVBand="1"/>
      </w:tblPr>
      <w:tblGrid>
        <w:gridCol w:w="9010"/>
      </w:tblGrid>
      <w:tr w:rsidR="00E24FB4" w:rsidRPr="00E24FB4" w14:paraId="00963FA0" w14:textId="77777777" w:rsidTr="00764351">
        <w:tc>
          <w:tcPr>
            <w:tcW w:w="9010" w:type="dxa"/>
          </w:tcPr>
          <w:p w14:paraId="136E1131" w14:textId="61F2D859" w:rsidR="003D1A08" w:rsidRPr="00E24FB4" w:rsidRDefault="003D1A08" w:rsidP="0005167E">
            <w:pPr>
              <w:jc w:val="both"/>
              <w:rPr>
                <w:b/>
                <w:bCs/>
                <w:sz w:val="20"/>
                <w:szCs w:val="20"/>
              </w:rPr>
            </w:pPr>
            <w:r w:rsidRPr="00E24FB4">
              <w:rPr>
                <w:b/>
                <w:bCs/>
                <w:sz w:val="20"/>
                <w:szCs w:val="20"/>
              </w:rPr>
              <w:t xml:space="preserve">Customer Industry Trend/Outlook -&gt; </w:t>
            </w:r>
            <w:r w:rsidR="00942645" w:rsidRPr="00E24FB4">
              <w:rPr>
                <w:sz w:val="20"/>
                <w:szCs w:val="20"/>
              </w:rPr>
              <w:sym w:font="Wingdings" w:char="F0FE"/>
            </w:r>
            <w:r w:rsidRPr="00E24FB4">
              <w:rPr>
                <w:sz w:val="20"/>
                <w:szCs w:val="20"/>
              </w:rPr>
              <w:t xml:space="preserve"> Tailwinds </w:t>
            </w:r>
            <w:r w:rsidR="006A2480" w:rsidRPr="00E24FB4">
              <w:rPr>
                <w:sz w:val="20"/>
                <w:szCs w:val="20"/>
              </w:rPr>
              <w:sym w:font="Wingdings" w:char="F06F"/>
            </w:r>
            <w:r w:rsidR="006A2480" w:rsidRPr="00E24FB4">
              <w:rPr>
                <w:sz w:val="20"/>
                <w:szCs w:val="20"/>
              </w:rPr>
              <w:t xml:space="preserve"> </w:t>
            </w:r>
            <w:r w:rsidRPr="00E24FB4">
              <w:rPr>
                <w:sz w:val="20"/>
                <w:szCs w:val="20"/>
              </w:rPr>
              <w:t>Headwinds</w:t>
            </w:r>
            <w:r w:rsidR="007F7F6A" w:rsidRPr="00E24FB4">
              <w:rPr>
                <w:sz w:val="20"/>
                <w:szCs w:val="20"/>
              </w:rPr>
              <w:t xml:space="preserve"> </w:t>
            </w:r>
            <w:r w:rsidR="006A2480" w:rsidRPr="00E24FB4">
              <w:rPr>
                <w:sz w:val="20"/>
                <w:szCs w:val="20"/>
              </w:rPr>
              <w:sym w:font="Wingdings" w:char="F06F"/>
            </w:r>
            <w:r w:rsidR="006A2480" w:rsidRPr="00E24FB4">
              <w:rPr>
                <w:sz w:val="20"/>
                <w:szCs w:val="20"/>
              </w:rPr>
              <w:t xml:space="preserve"> </w:t>
            </w:r>
            <w:r w:rsidR="007F7F6A" w:rsidRPr="00E24FB4">
              <w:rPr>
                <w:sz w:val="20"/>
                <w:szCs w:val="20"/>
              </w:rPr>
              <w:t>Secular</w:t>
            </w:r>
          </w:p>
        </w:tc>
      </w:tr>
    </w:tbl>
    <w:p w14:paraId="0706294E" w14:textId="6F095B5B" w:rsidR="00C42A6A" w:rsidRPr="00E24FB4" w:rsidRDefault="002A517C" w:rsidP="00436A87">
      <w:pPr>
        <w:pStyle w:val="ListParagraph"/>
        <w:numPr>
          <w:ilvl w:val="0"/>
          <w:numId w:val="14"/>
        </w:numPr>
        <w:shd w:val="clear" w:color="auto" w:fill="FFFFFF"/>
        <w:jc w:val="both"/>
        <w:rPr>
          <w:sz w:val="20"/>
          <w:szCs w:val="20"/>
          <w:lang w:eastAsia="en-IN"/>
        </w:rPr>
      </w:pPr>
      <w:r w:rsidRPr="00E24FB4">
        <w:rPr>
          <w:sz w:val="20"/>
          <w:szCs w:val="20"/>
          <w:lang w:eastAsia="en-IN"/>
        </w:rPr>
        <w:t>A</w:t>
      </w:r>
      <w:r w:rsidR="0005167E" w:rsidRPr="00E24FB4">
        <w:rPr>
          <w:sz w:val="20"/>
          <w:szCs w:val="20"/>
          <w:lang w:eastAsia="en-IN"/>
        </w:rPr>
        <w:t xml:space="preserve">ll major MNC’s in agrochemical sector </w:t>
      </w:r>
      <w:r w:rsidR="0014771B" w:rsidRPr="00E24FB4">
        <w:rPr>
          <w:sz w:val="20"/>
          <w:szCs w:val="20"/>
          <w:lang w:eastAsia="en-IN"/>
        </w:rPr>
        <w:t xml:space="preserve">globally </w:t>
      </w:r>
      <w:r w:rsidR="0005167E" w:rsidRPr="00E24FB4">
        <w:rPr>
          <w:sz w:val="20"/>
          <w:szCs w:val="20"/>
          <w:lang w:eastAsia="en-IN"/>
        </w:rPr>
        <w:t xml:space="preserve">are looking to de-risk their procurement dependence on China </w:t>
      </w:r>
      <w:r w:rsidRPr="00E24FB4">
        <w:rPr>
          <w:sz w:val="20"/>
          <w:szCs w:val="20"/>
          <w:lang w:eastAsia="en-IN"/>
        </w:rPr>
        <w:t xml:space="preserve">due to raw material pricing and availability issues over last 2-3 years (due to </w:t>
      </w:r>
      <w:r w:rsidR="00AA700E" w:rsidRPr="00E24FB4">
        <w:rPr>
          <w:sz w:val="20"/>
          <w:szCs w:val="20"/>
          <w:lang w:eastAsia="en-IN"/>
        </w:rPr>
        <w:t xml:space="preserve">shut down of </w:t>
      </w:r>
      <w:r w:rsidRPr="00E24FB4">
        <w:rPr>
          <w:sz w:val="20"/>
          <w:szCs w:val="20"/>
          <w:lang w:eastAsia="en-IN"/>
        </w:rPr>
        <w:t>factor</w:t>
      </w:r>
      <w:r w:rsidR="00AA700E" w:rsidRPr="00E24FB4">
        <w:rPr>
          <w:sz w:val="20"/>
          <w:szCs w:val="20"/>
          <w:lang w:eastAsia="en-IN"/>
        </w:rPr>
        <w:t>ies</w:t>
      </w:r>
      <w:r w:rsidRPr="00E24FB4">
        <w:rPr>
          <w:sz w:val="20"/>
          <w:szCs w:val="20"/>
          <w:lang w:eastAsia="en-IN"/>
        </w:rPr>
        <w:t xml:space="preserve"> in China)</w:t>
      </w:r>
      <w:r w:rsidR="0005167E" w:rsidRPr="00E24FB4">
        <w:rPr>
          <w:sz w:val="20"/>
          <w:szCs w:val="20"/>
          <w:lang w:eastAsia="en-IN"/>
        </w:rPr>
        <w:t xml:space="preserve">. </w:t>
      </w:r>
      <w:r w:rsidR="00C42A6A" w:rsidRPr="00E24FB4">
        <w:rPr>
          <w:sz w:val="20"/>
          <w:szCs w:val="20"/>
          <w:lang w:eastAsia="en-IN"/>
        </w:rPr>
        <w:t>This trend has got accelerated with corona virus.</w:t>
      </w:r>
    </w:p>
    <w:p w14:paraId="550292F1" w14:textId="19A00D52" w:rsidR="00A05FBC" w:rsidRPr="00E24FB4" w:rsidRDefault="00A05FBC" w:rsidP="00436A87">
      <w:pPr>
        <w:pStyle w:val="ListParagraph"/>
        <w:numPr>
          <w:ilvl w:val="0"/>
          <w:numId w:val="14"/>
        </w:numPr>
        <w:shd w:val="clear" w:color="auto" w:fill="FFFFFF"/>
        <w:jc w:val="both"/>
        <w:rPr>
          <w:sz w:val="20"/>
          <w:szCs w:val="20"/>
          <w:lang w:eastAsia="en-IN"/>
        </w:rPr>
      </w:pPr>
      <w:r w:rsidRPr="00E24FB4">
        <w:rPr>
          <w:sz w:val="20"/>
          <w:szCs w:val="20"/>
          <w:lang w:eastAsia="en-IN"/>
        </w:rPr>
        <w:t>Even if China comes back, the cost for Chinese companies has increased on account of higher labour costs and environmental costs thereby giving a level field to Indian companies.</w:t>
      </w:r>
    </w:p>
    <w:p w14:paraId="1D653985" w14:textId="141FD14C" w:rsidR="002F11A9" w:rsidRPr="00E24FB4" w:rsidRDefault="002F11A9" w:rsidP="00436A87">
      <w:pPr>
        <w:pStyle w:val="ListParagraph"/>
        <w:numPr>
          <w:ilvl w:val="0"/>
          <w:numId w:val="14"/>
        </w:numPr>
        <w:spacing w:line="276" w:lineRule="auto"/>
        <w:jc w:val="both"/>
        <w:rPr>
          <w:sz w:val="20"/>
          <w:szCs w:val="20"/>
          <w:lang w:eastAsia="en-IN"/>
        </w:rPr>
      </w:pPr>
      <w:r w:rsidRPr="00E24FB4">
        <w:rPr>
          <w:sz w:val="20"/>
          <w:szCs w:val="20"/>
          <w:lang w:eastAsia="en-IN"/>
        </w:rPr>
        <w:t xml:space="preserve">MNC contracts provide a good opportunity as they are sticky in nature, have higher profitability margins, better payment terms and take a long time to develop. </w:t>
      </w:r>
    </w:p>
    <w:p w14:paraId="11FD8044" w14:textId="06BA3776" w:rsidR="00A05FBC" w:rsidRPr="00E24FB4" w:rsidRDefault="001D73B3" w:rsidP="00436A87">
      <w:pPr>
        <w:pStyle w:val="ListParagraph"/>
        <w:numPr>
          <w:ilvl w:val="0"/>
          <w:numId w:val="14"/>
        </w:numPr>
        <w:spacing w:line="276" w:lineRule="auto"/>
        <w:jc w:val="both"/>
        <w:rPr>
          <w:sz w:val="20"/>
          <w:szCs w:val="20"/>
          <w:lang w:eastAsia="en-IN"/>
        </w:rPr>
      </w:pPr>
      <w:r w:rsidRPr="00E24FB4">
        <w:rPr>
          <w:sz w:val="20"/>
          <w:szCs w:val="20"/>
          <w:lang w:eastAsia="en-IN"/>
        </w:rPr>
        <w:t>In addition, there is a patent cliff opportunity (many molecules going off-patent in the next few years).</w:t>
      </w:r>
    </w:p>
    <w:p w14:paraId="7703ED8D" w14:textId="77777777" w:rsidR="003D1A08" w:rsidRPr="00E24FB4" w:rsidRDefault="003D1A08">
      <w:pPr>
        <w:rPr>
          <w:b/>
          <w:bCs/>
          <w:sz w:val="20"/>
          <w:szCs w:val="20"/>
        </w:rPr>
      </w:pPr>
    </w:p>
    <w:tbl>
      <w:tblPr>
        <w:tblStyle w:val="TableGrid"/>
        <w:tblW w:w="0" w:type="auto"/>
        <w:tblLook w:val="04A0" w:firstRow="1" w:lastRow="0" w:firstColumn="1" w:lastColumn="0" w:noHBand="0" w:noVBand="1"/>
      </w:tblPr>
      <w:tblGrid>
        <w:gridCol w:w="9010"/>
      </w:tblGrid>
      <w:tr w:rsidR="004A255A" w:rsidRPr="00E24FB4" w14:paraId="2F2A1F5E" w14:textId="77777777" w:rsidTr="00764351">
        <w:tc>
          <w:tcPr>
            <w:tcW w:w="9010" w:type="dxa"/>
          </w:tcPr>
          <w:p w14:paraId="52BB9BF3" w14:textId="7D06B3C3" w:rsidR="00447430" w:rsidRPr="00E24FB4" w:rsidRDefault="003D1A08" w:rsidP="00447430">
            <w:pPr>
              <w:rPr>
                <w:sz w:val="20"/>
                <w:szCs w:val="20"/>
                <w:lang w:eastAsia="en-IN"/>
              </w:rPr>
            </w:pPr>
            <w:r w:rsidRPr="00E24FB4">
              <w:rPr>
                <w:b/>
                <w:bCs/>
                <w:sz w:val="20"/>
                <w:szCs w:val="20"/>
              </w:rPr>
              <w:t xml:space="preserve">Elevator Pitch – </w:t>
            </w:r>
            <w:r w:rsidR="00447430" w:rsidRPr="00E24FB4">
              <w:rPr>
                <w:sz w:val="20"/>
                <w:szCs w:val="20"/>
                <w:lang w:eastAsia="en-IN"/>
              </w:rPr>
              <w:t>BRL is likely to strongly benefit from the industry trend of diversifying from China to India on account of the following:</w:t>
            </w:r>
          </w:p>
          <w:p w14:paraId="025A8914" w14:textId="12817CD2" w:rsidR="00447430" w:rsidRPr="00E24FB4" w:rsidRDefault="00447430" w:rsidP="00436A87">
            <w:pPr>
              <w:pStyle w:val="ListParagraph"/>
              <w:numPr>
                <w:ilvl w:val="0"/>
                <w:numId w:val="15"/>
              </w:numPr>
              <w:jc w:val="both"/>
              <w:rPr>
                <w:sz w:val="20"/>
                <w:szCs w:val="20"/>
                <w:lang w:eastAsia="en-IN"/>
              </w:rPr>
            </w:pPr>
            <w:r w:rsidRPr="00E24FB4">
              <w:rPr>
                <w:sz w:val="20"/>
                <w:szCs w:val="20"/>
                <w:lang w:eastAsia="en-IN"/>
              </w:rPr>
              <w:t xml:space="preserve">Chemistry skills –BRL’s delivery and execution skills – on purity </w:t>
            </w:r>
            <w:r w:rsidR="00E24FB4" w:rsidRPr="00E24FB4">
              <w:rPr>
                <w:sz w:val="20"/>
                <w:szCs w:val="20"/>
                <w:lang w:eastAsia="en-IN"/>
              </w:rPr>
              <w:t>(95-99%). Higher order chemistry and higher purity leads to higher margins. Q</w:t>
            </w:r>
            <w:r w:rsidRPr="00E24FB4">
              <w:rPr>
                <w:sz w:val="20"/>
                <w:szCs w:val="20"/>
                <w:lang w:eastAsia="en-IN"/>
              </w:rPr>
              <w:t xml:space="preserve">uality and timely delivery is </w:t>
            </w:r>
            <w:r w:rsidR="00E24FB4" w:rsidRPr="00E24FB4">
              <w:rPr>
                <w:sz w:val="20"/>
                <w:szCs w:val="20"/>
                <w:lang w:eastAsia="en-IN"/>
              </w:rPr>
              <w:t xml:space="preserve">also </w:t>
            </w:r>
            <w:r w:rsidRPr="00E24FB4">
              <w:rPr>
                <w:sz w:val="20"/>
                <w:szCs w:val="20"/>
                <w:lang w:eastAsia="en-IN"/>
              </w:rPr>
              <w:t>of paramount importance to MNCs –</w:t>
            </w:r>
            <w:r w:rsidR="00E24FB4" w:rsidRPr="00E24FB4">
              <w:rPr>
                <w:sz w:val="20"/>
                <w:szCs w:val="20"/>
                <w:lang w:eastAsia="en-IN"/>
              </w:rPr>
              <w:t xml:space="preserve"> of which BRL has a good track record.</w:t>
            </w:r>
          </w:p>
          <w:p w14:paraId="664988E6" w14:textId="7B399328" w:rsidR="00447430" w:rsidRPr="00E24FB4" w:rsidRDefault="00447430" w:rsidP="00436A87">
            <w:pPr>
              <w:pStyle w:val="ListParagraph"/>
              <w:numPr>
                <w:ilvl w:val="0"/>
                <w:numId w:val="15"/>
              </w:numPr>
              <w:jc w:val="both"/>
              <w:rPr>
                <w:sz w:val="20"/>
                <w:szCs w:val="20"/>
                <w:lang w:eastAsia="en-IN"/>
              </w:rPr>
            </w:pPr>
            <w:r w:rsidRPr="00E24FB4">
              <w:rPr>
                <w:sz w:val="20"/>
                <w:szCs w:val="20"/>
                <w:lang w:eastAsia="en-IN"/>
              </w:rPr>
              <w:t xml:space="preserve">Established relationship with large Japanese </w:t>
            </w:r>
            <w:proofErr w:type="spellStart"/>
            <w:r w:rsidRPr="00E24FB4">
              <w:rPr>
                <w:sz w:val="20"/>
                <w:szCs w:val="20"/>
                <w:lang w:eastAsia="en-IN"/>
              </w:rPr>
              <w:t>agrochem</w:t>
            </w:r>
            <w:proofErr w:type="spellEnd"/>
            <w:r w:rsidRPr="00E24FB4">
              <w:rPr>
                <w:sz w:val="20"/>
                <w:szCs w:val="20"/>
                <w:lang w:eastAsia="en-IN"/>
              </w:rPr>
              <w:t xml:space="preserve"> MNCs </w:t>
            </w:r>
            <w:r w:rsidR="00585E3A">
              <w:rPr>
                <w:sz w:val="20"/>
                <w:szCs w:val="20"/>
                <w:lang w:eastAsia="en-IN"/>
              </w:rPr>
              <w:t xml:space="preserve">besides </w:t>
            </w:r>
            <w:r w:rsidRPr="00E24FB4">
              <w:rPr>
                <w:sz w:val="20"/>
                <w:szCs w:val="20"/>
                <w:lang w:eastAsia="en-IN"/>
              </w:rPr>
              <w:t>Dow, Syngenta, etc for over 5-7 years – as MNCs take time to build up and scale relationships – this is a function of track record of purity, timely delivery, pricing (not squeezing the customer on pricing in case of a shortage), EHS standards etc.</w:t>
            </w:r>
          </w:p>
          <w:p w14:paraId="2E15C815" w14:textId="2A01AF05" w:rsidR="00447430" w:rsidRPr="00E24FB4" w:rsidRDefault="00447430" w:rsidP="00436A87">
            <w:pPr>
              <w:pStyle w:val="ListParagraph"/>
              <w:numPr>
                <w:ilvl w:val="0"/>
                <w:numId w:val="15"/>
              </w:numPr>
              <w:jc w:val="both"/>
              <w:rPr>
                <w:sz w:val="20"/>
                <w:szCs w:val="20"/>
                <w:lang w:eastAsia="en-IN"/>
              </w:rPr>
            </w:pPr>
            <w:r w:rsidRPr="00E24FB4">
              <w:rPr>
                <w:sz w:val="20"/>
                <w:szCs w:val="20"/>
                <w:lang w:eastAsia="en-IN"/>
              </w:rPr>
              <w:t xml:space="preserve">Successful track record of scaling up small volumes to large scale commercial relationships </w:t>
            </w:r>
            <w:r w:rsidR="00E24FB4" w:rsidRPr="00E24FB4">
              <w:rPr>
                <w:sz w:val="20"/>
                <w:szCs w:val="20"/>
                <w:lang w:eastAsia="en-IN"/>
              </w:rPr>
              <w:t xml:space="preserve">as established in the case of </w:t>
            </w:r>
            <w:r w:rsidRPr="00E24FB4">
              <w:rPr>
                <w:sz w:val="20"/>
                <w:szCs w:val="20"/>
                <w:lang w:eastAsia="en-IN"/>
              </w:rPr>
              <w:t>Nissan JV – and having a contract with one Japanese MNC helps in expanding the relationship with other Japanese cos.</w:t>
            </w:r>
          </w:p>
          <w:p w14:paraId="14A9A705" w14:textId="77777777" w:rsidR="00447430" w:rsidRPr="00E24FB4" w:rsidRDefault="00447430" w:rsidP="00436A87">
            <w:pPr>
              <w:pStyle w:val="ListParagraph"/>
              <w:numPr>
                <w:ilvl w:val="0"/>
                <w:numId w:val="15"/>
              </w:numPr>
              <w:jc w:val="both"/>
              <w:rPr>
                <w:sz w:val="20"/>
                <w:szCs w:val="20"/>
                <w:lang w:eastAsia="en-IN"/>
              </w:rPr>
            </w:pPr>
            <w:r w:rsidRPr="00E24FB4">
              <w:rPr>
                <w:sz w:val="20"/>
                <w:szCs w:val="20"/>
                <w:lang w:eastAsia="en-IN"/>
              </w:rPr>
              <w:t>World class plants in terms of design, EHS standards, cleanliness, future ready, certifications (both ISO &amp; OHS) etc.</w:t>
            </w:r>
          </w:p>
          <w:p w14:paraId="4B79390B" w14:textId="77777777" w:rsidR="00447430" w:rsidRPr="00E24FB4" w:rsidRDefault="00447430" w:rsidP="00436A87">
            <w:pPr>
              <w:pStyle w:val="ListParagraph"/>
              <w:numPr>
                <w:ilvl w:val="0"/>
                <w:numId w:val="15"/>
              </w:numPr>
              <w:jc w:val="both"/>
              <w:rPr>
                <w:sz w:val="20"/>
                <w:szCs w:val="20"/>
                <w:lang w:eastAsia="en-IN"/>
              </w:rPr>
            </w:pPr>
            <w:r w:rsidRPr="00E24FB4">
              <w:rPr>
                <w:sz w:val="20"/>
                <w:szCs w:val="20"/>
                <w:lang w:eastAsia="en-IN"/>
              </w:rPr>
              <w:t>Backward integration - BRL is focussing on backward integration for large volume products as most MNCs want supply chains to be independent of China.</w:t>
            </w:r>
          </w:p>
          <w:p w14:paraId="6CBD2465" w14:textId="0EC9B2FF" w:rsidR="00447430" w:rsidRPr="00E24FB4" w:rsidRDefault="00447430" w:rsidP="00436A87">
            <w:pPr>
              <w:pStyle w:val="NormalWeb"/>
              <w:numPr>
                <w:ilvl w:val="0"/>
                <w:numId w:val="15"/>
              </w:numPr>
              <w:spacing w:before="0" w:beforeAutospacing="0" w:after="0" w:afterAutospacing="0"/>
              <w:jc w:val="both"/>
              <w:rPr>
                <w:b/>
                <w:bCs/>
                <w:sz w:val="20"/>
                <w:szCs w:val="20"/>
              </w:rPr>
            </w:pPr>
            <w:r w:rsidRPr="00E24FB4">
              <w:rPr>
                <w:sz w:val="20"/>
                <w:szCs w:val="20"/>
                <w:lang w:eastAsia="en-IN"/>
              </w:rPr>
              <w:t xml:space="preserve">Robust product portfolio - CRAMS basket (patented &amp; non patented molecules) </w:t>
            </w:r>
            <w:r w:rsidR="00585E3A">
              <w:rPr>
                <w:sz w:val="20"/>
                <w:szCs w:val="20"/>
                <w:lang w:eastAsia="en-IN"/>
              </w:rPr>
              <w:t xml:space="preserve">of 20-22 products and plants to add 20 over the next few years. </w:t>
            </w:r>
          </w:p>
        </w:tc>
      </w:tr>
    </w:tbl>
    <w:p w14:paraId="273C822D" w14:textId="050B9D8F" w:rsidR="00034A0B" w:rsidRPr="00E24FB4" w:rsidRDefault="00034A0B" w:rsidP="00034A0B">
      <w:pPr>
        <w:rPr>
          <w:sz w:val="20"/>
          <w:szCs w:val="20"/>
        </w:rPr>
      </w:pPr>
    </w:p>
    <w:p w14:paraId="29A82EFF" w14:textId="341FC162" w:rsidR="00CE2BAE" w:rsidRPr="00E24FB4" w:rsidRDefault="00CE2BAE" w:rsidP="00034A0B">
      <w:pPr>
        <w:rPr>
          <w:sz w:val="20"/>
          <w:szCs w:val="20"/>
        </w:rPr>
      </w:pPr>
    </w:p>
    <w:p w14:paraId="414A90C9" w14:textId="77777777" w:rsidR="00CE2BAE" w:rsidRPr="00E24FB4" w:rsidRDefault="00CE2BAE" w:rsidP="00034A0B">
      <w:pPr>
        <w:rPr>
          <w:sz w:val="20"/>
          <w:szCs w:val="20"/>
        </w:rPr>
      </w:pPr>
    </w:p>
    <w:tbl>
      <w:tblPr>
        <w:tblStyle w:val="TableGrid"/>
        <w:tblW w:w="0" w:type="auto"/>
        <w:tblLook w:val="04A0" w:firstRow="1" w:lastRow="0" w:firstColumn="1" w:lastColumn="0" w:noHBand="0" w:noVBand="1"/>
      </w:tblPr>
      <w:tblGrid>
        <w:gridCol w:w="9010"/>
      </w:tblGrid>
      <w:tr w:rsidR="00E24FB4" w:rsidRPr="00E24FB4" w14:paraId="36D3BA58" w14:textId="77777777" w:rsidTr="00764351">
        <w:tc>
          <w:tcPr>
            <w:tcW w:w="9010" w:type="dxa"/>
          </w:tcPr>
          <w:p w14:paraId="3B0E8366" w14:textId="77777777" w:rsidR="003D1A08" w:rsidRPr="00E24FB4" w:rsidRDefault="003D1A08" w:rsidP="003D1A08">
            <w:pPr>
              <w:rPr>
                <w:i/>
                <w:iCs/>
                <w:sz w:val="20"/>
                <w:szCs w:val="20"/>
              </w:rPr>
            </w:pPr>
            <w:r w:rsidRPr="00E24FB4">
              <w:rPr>
                <w:b/>
                <w:bCs/>
                <w:sz w:val="20"/>
                <w:szCs w:val="20"/>
              </w:rPr>
              <w:t>BUSINESS ATTRACTIVNESS</w:t>
            </w:r>
          </w:p>
        </w:tc>
      </w:tr>
    </w:tbl>
    <w:p w14:paraId="72D10E04" w14:textId="77777777" w:rsidR="003D1A08" w:rsidRPr="00E24FB4" w:rsidRDefault="003D1A08" w:rsidP="00436A87">
      <w:pPr>
        <w:pStyle w:val="ListParagraph"/>
        <w:numPr>
          <w:ilvl w:val="0"/>
          <w:numId w:val="1"/>
        </w:numPr>
        <w:rPr>
          <w:b/>
          <w:bCs/>
          <w:sz w:val="20"/>
          <w:szCs w:val="20"/>
        </w:rPr>
      </w:pPr>
      <w:r w:rsidRPr="00E24FB4">
        <w:rPr>
          <w:b/>
          <w:bCs/>
          <w:sz w:val="20"/>
          <w:szCs w:val="20"/>
        </w:rPr>
        <w:t>Strongly differentiated business model -&gt; High</w:t>
      </w:r>
    </w:p>
    <w:p w14:paraId="178EC674" w14:textId="017501D8" w:rsidR="00CB123D" w:rsidRPr="00E24FB4" w:rsidRDefault="00CB123D" w:rsidP="00436A87">
      <w:pPr>
        <w:pStyle w:val="ListParagraph"/>
        <w:numPr>
          <w:ilvl w:val="0"/>
          <w:numId w:val="16"/>
        </w:numPr>
        <w:rPr>
          <w:sz w:val="20"/>
          <w:szCs w:val="20"/>
        </w:rPr>
      </w:pPr>
      <w:r w:rsidRPr="00E24FB4">
        <w:rPr>
          <w:sz w:val="20"/>
          <w:szCs w:val="20"/>
        </w:rPr>
        <w:t xml:space="preserve">CRAMS business from global MNCs is a tough and time-consuming business – It requires </w:t>
      </w:r>
      <w:r w:rsidR="00904A4D" w:rsidRPr="00E24FB4">
        <w:rPr>
          <w:sz w:val="20"/>
          <w:szCs w:val="20"/>
        </w:rPr>
        <w:t xml:space="preserve">significant upfront investment of capital and time for winning trust of global MNCs – this requires </w:t>
      </w:r>
      <w:r w:rsidRPr="00E24FB4">
        <w:rPr>
          <w:sz w:val="20"/>
          <w:szCs w:val="20"/>
        </w:rPr>
        <w:t>many years of track record of purity, timely delivery, EHS standards, high order chemistry skills etc and is a huge entry barrier. Once won, this is a sticky business which provides higher volumes over time, with attractive margins, payment terms etc.</w:t>
      </w:r>
    </w:p>
    <w:p w14:paraId="3EFBB790" w14:textId="3B8DA96D" w:rsidR="00CB123D" w:rsidRPr="00E24FB4" w:rsidRDefault="00CB123D" w:rsidP="00436A87">
      <w:pPr>
        <w:pStyle w:val="ListParagraph"/>
        <w:numPr>
          <w:ilvl w:val="0"/>
          <w:numId w:val="16"/>
        </w:numPr>
        <w:rPr>
          <w:sz w:val="20"/>
          <w:szCs w:val="20"/>
        </w:rPr>
      </w:pPr>
      <w:r w:rsidRPr="00E24FB4">
        <w:rPr>
          <w:sz w:val="20"/>
          <w:szCs w:val="20"/>
        </w:rPr>
        <w:t xml:space="preserve">In India, not many other players have been successful in this except PI Industries. </w:t>
      </w:r>
      <w:r w:rsidR="00E24FB4" w:rsidRPr="00E24FB4">
        <w:rPr>
          <w:sz w:val="20"/>
          <w:szCs w:val="20"/>
        </w:rPr>
        <w:t xml:space="preserve">The </w:t>
      </w:r>
      <w:r w:rsidRPr="00E24FB4">
        <w:rPr>
          <w:sz w:val="20"/>
          <w:szCs w:val="20"/>
        </w:rPr>
        <w:t>JV with Nissan established BRL’s credibility.</w:t>
      </w:r>
    </w:p>
    <w:p w14:paraId="4ADD6282" w14:textId="77777777" w:rsidR="00CD4D43" w:rsidRPr="00E24FB4" w:rsidRDefault="00CD4D43" w:rsidP="00CD4D43">
      <w:pPr>
        <w:pStyle w:val="ListParagraph"/>
        <w:ind w:left="1440"/>
        <w:rPr>
          <w:sz w:val="20"/>
          <w:szCs w:val="20"/>
        </w:rPr>
      </w:pPr>
    </w:p>
    <w:p w14:paraId="2A18DF68" w14:textId="7843A520" w:rsidR="003D1A08" w:rsidRPr="00E24FB4" w:rsidRDefault="003D1A08" w:rsidP="00436A87">
      <w:pPr>
        <w:pStyle w:val="ListParagraph"/>
        <w:numPr>
          <w:ilvl w:val="0"/>
          <w:numId w:val="1"/>
        </w:numPr>
        <w:rPr>
          <w:sz w:val="20"/>
          <w:szCs w:val="20"/>
        </w:rPr>
      </w:pPr>
      <w:r w:rsidRPr="00E24FB4">
        <w:rPr>
          <w:b/>
          <w:bCs/>
          <w:sz w:val="20"/>
          <w:szCs w:val="20"/>
        </w:rPr>
        <w:t xml:space="preserve">Competitive Position getting stronger/weaker </w:t>
      </w:r>
      <w:r w:rsidR="00904A4D" w:rsidRPr="00E24FB4">
        <w:rPr>
          <w:b/>
          <w:bCs/>
          <w:sz w:val="20"/>
          <w:szCs w:val="20"/>
        </w:rPr>
        <w:t xml:space="preserve">vis a </w:t>
      </w:r>
      <w:r w:rsidR="00DE0D66" w:rsidRPr="00E24FB4">
        <w:rPr>
          <w:b/>
          <w:bCs/>
          <w:sz w:val="20"/>
          <w:szCs w:val="20"/>
        </w:rPr>
        <w:t>vis other patented CRAMS player</w:t>
      </w:r>
      <w:r w:rsidR="00904A4D" w:rsidRPr="00E24FB4">
        <w:rPr>
          <w:b/>
          <w:bCs/>
          <w:sz w:val="20"/>
          <w:szCs w:val="20"/>
        </w:rPr>
        <w:t xml:space="preserve"> like PI</w:t>
      </w:r>
      <w:r w:rsidR="003E7924" w:rsidRPr="00E24FB4">
        <w:rPr>
          <w:b/>
          <w:bCs/>
          <w:sz w:val="20"/>
          <w:szCs w:val="20"/>
        </w:rPr>
        <w:t xml:space="preserve"> </w:t>
      </w:r>
      <w:r w:rsidR="00904A4D" w:rsidRPr="00E24FB4">
        <w:rPr>
          <w:b/>
          <w:bCs/>
          <w:sz w:val="20"/>
          <w:szCs w:val="20"/>
        </w:rPr>
        <w:t>etc.</w:t>
      </w:r>
      <w:r w:rsidR="002D4D82" w:rsidRPr="00E24FB4">
        <w:rPr>
          <w:b/>
          <w:bCs/>
          <w:sz w:val="20"/>
          <w:szCs w:val="20"/>
        </w:rPr>
        <w:t>- Medium</w:t>
      </w:r>
    </w:p>
    <w:p w14:paraId="02867F85" w14:textId="63ADBD8F" w:rsidR="00DE0D66" w:rsidRPr="00E24FB4" w:rsidRDefault="00DE0D66" w:rsidP="00436A87">
      <w:pPr>
        <w:pStyle w:val="ListParagraph"/>
        <w:numPr>
          <w:ilvl w:val="1"/>
          <w:numId w:val="1"/>
        </w:numPr>
        <w:rPr>
          <w:sz w:val="20"/>
          <w:szCs w:val="20"/>
        </w:rPr>
      </w:pPr>
      <w:r w:rsidRPr="00E24FB4">
        <w:rPr>
          <w:sz w:val="20"/>
          <w:szCs w:val="20"/>
        </w:rPr>
        <w:t>Success in CRAMS (like Nissan JV) places BRL strongly within the industry (as these contracts are long term and MNCs do not prefer to change suppliers unless really required). Success with one company is likely to lead to additional contracts with other MNCs.</w:t>
      </w:r>
    </w:p>
    <w:p w14:paraId="55F958B3" w14:textId="5D4031A7" w:rsidR="00DE0D66" w:rsidRPr="00E24FB4" w:rsidRDefault="00DE0D66" w:rsidP="00436A87">
      <w:pPr>
        <w:pStyle w:val="ListParagraph"/>
        <w:numPr>
          <w:ilvl w:val="1"/>
          <w:numId w:val="1"/>
        </w:numPr>
        <w:rPr>
          <w:sz w:val="20"/>
          <w:szCs w:val="20"/>
        </w:rPr>
      </w:pPr>
      <w:r w:rsidRPr="00E24FB4">
        <w:rPr>
          <w:sz w:val="20"/>
          <w:szCs w:val="20"/>
        </w:rPr>
        <w:t>However, BRL’s share in patented / innovator molecules is low (c. &lt; 10% and mgmt. expects to grow this to 20-30% over next 3-5 years) compared to established players like PI Industries which are largely into innovator/patented molecules.</w:t>
      </w:r>
    </w:p>
    <w:p w14:paraId="2AAFD024" w14:textId="59CCA132" w:rsidR="00DE0D66" w:rsidRPr="00E24FB4" w:rsidRDefault="00DE0D66" w:rsidP="003E7924">
      <w:pPr>
        <w:pStyle w:val="ListParagraph"/>
        <w:ind w:left="1080"/>
        <w:rPr>
          <w:sz w:val="20"/>
          <w:szCs w:val="20"/>
        </w:rPr>
      </w:pPr>
    </w:p>
    <w:p w14:paraId="202F7E89" w14:textId="77777777" w:rsidR="003D1A08" w:rsidRPr="00E24FB4" w:rsidRDefault="003D1A08" w:rsidP="00436A87">
      <w:pPr>
        <w:pStyle w:val="ListParagraph"/>
        <w:numPr>
          <w:ilvl w:val="0"/>
          <w:numId w:val="1"/>
        </w:numPr>
        <w:rPr>
          <w:sz w:val="20"/>
          <w:szCs w:val="20"/>
        </w:rPr>
      </w:pPr>
      <w:r w:rsidRPr="00E24FB4">
        <w:rPr>
          <w:b/>
          <w:bCs/>
          <w:sz w:val="20"/>
          <w:szCs w:val="20"/>
        </w:rPr>
        <w:t>Next Level of business -&gt; High</w:t>
      </w:r>
    </w:p>
    <w:p w14:paraId="3EDE60F3" w14:textId="48166B85" w:rsidR="003D5BDA" w:rsidRPr="00E24FB4" w:rsidRDefault="003D5BDA" w:rsidP="00436A87">
      <w:pPr>
        <w:pStyle w:val="ListParagraph"/>
        <w:numPr>
          <w:ilvl w:val="1"/>
          <w:numId w:val="1"/>
        </w:numPr>
        <w:rPr>
          <w:sz w:val="20"/>
          <w:szCs w:val="20"/>
        </w:rPr>
      </w:pPr>
      <w:r w:rsidRPr="00E24FB4">
        <w:rPr>
          <w:sz w:val="20"/>
          <w:szCs w:val="20"/>
        </w:rPr>
        <w:t>Replication of Nissan CRAMS with other agrochemical MNCs</w:t>
      </w:r>
      <w:r w:rsidR="00747E60" w:rsidRPr="00E24FB4">
        <w:rPr>
          <w:sz w:val="20"/>
          <w:szCs w:val="20"/>
        </w:rPr>
        <w:t xml:space="preserve"> will be the next growth driver.</w:t>
      </w:r>
    </w:p>
    <w:p w14:paraId="26CC4372" w14:textId="3029975F" w:rsidR="003D5BDA" w:rsidRPr="00E24FB4" w:rsidRDefault="00747E60" w:rsidP="00436A87">
      <w:pPr>
        <w:pStyle w:val="ListParagraph"/>
        <w:numPr>
          <w:ilvl w:val="1"/>
          <w:numId w:val="1"/>
        </w:numPr>
        <w:rPr>
          <w:sz w:val="20"/>
          <w:szCs w:val="20"/>
        </w:rPr>
      </w:pPr>
      <w:r w:rsidRPr="00E24FB4">
        <w:rPr>
          <w:sz w:val="20"/>
          <w:szCs w:val="20"/>
        </w:rPr>
        <w:t>In medium term, s</w:t>
      </w:r>
      <w:r w:rsidR="003D5BDA" w:rsidRPr="00E24FB4">
        <w:rPr>
          <w:sz w:val="20"/>
          <w:szCs w:val="20"/>
        </w:rPr>
        <w:t xml:space="preserve">cale up of CRAMS in patented / innovator </w:t>
      </w:r>
      <w:r w:rsidR="006C02FE" w:rsidRPr="00E24FB4">
        <w:rPr>
          <w:sz w:val="20"/>
          <w:szCs w:val="20"/>
        </w:rPr>
        <w:t xml:space="preserve">molecules </w:t>
      </w:r>
      <w:r w:rsidR="00BF76EA" w:rsidRPr="00E24FB4">
        <w:rPr>
          <w:sz w:val="20"/>
          <w:szCs w:val="20"/>
        </w:rPr>
        <w:t>(like PI Industries)</w:t>
      </w:r>
      <w:r w:rsidR="00591F1E" w:rsidRPr="00E24FB4">
        <w:rPr>
          <w:sz w:val="20"/>
          <w:szCs w:val="20"/>
        </w:rPr>
        <w:t xml:space="preserve"> is the next big milestone</w:t>
      </w:r>
      <w:r w:rsidRPr="00E24FB4">
        <w:rPr>
          <w:sz w:val="20"/>
          <w:szCs w:val="20"/>
        </w:rPr>
        <w:t xml:space="preserve"> for the company</w:t>
      </w:r>
      <w:r w:rsidR="00BA7504" w:rsidRPr="00E24FB4">
        <w:rPr>
          <w:sz w:val="20"/>
          <w:szCs w:val="20"/>
        </w:rPr>
        <w:t>.</w:t>
      </w:r>
    </w:p>
    <w:p w14:paraId="7CC22C12" w14:textId="77777777" w:rsidR="00CD4D43" w:rsidRPr="00E24FB4" w:rsidRDefault="00CD4D43" w:rsidP="00CD4D43">
      <w:pPr>
        <w:pStyle w:val="ListParagraph"/>
        <w:ind w:left="1440"/>
        <w:rPr>
          <w:sz w:val="20"/>
          <w:szCs w:val="20"/>
        </w:rPr>
      </w:pPr>
    </w:p>
    <w:p w14:paraId="4021B1BD" w14:textId="268C759F" w:rsidR="003D1A08" w:rsidRPr="00E24FB4" w:rsidRDefault="003D1A08" w:rsidP="00436A87">
      <w:pPr>
        <w:pStyle w:val="ListParagraph"/>
        <w:numPr>
          <w:ilvl w:val="0"/>
          <w:numId w:val="1"/>
        </w:numPr>
        <w:rPr>
          <w:sz w:val="20"/>
          <w:szCs w:val="20"/>
        </w:rPr>
      </w:pPr>
      <w:r w:rsidRPr="00E24FB4">
        <w:rPr>
          <w:b/>
          <w:bCs/>
          <w:sz w:val="20"/>
          <w:szCs w:val="20"/>
        </w:rPr>
        <w:t xml:space="preserve">Value Migration Curve -&gt; </w:t>
      </w:r>
      <w:r w:rsidR="00FD1E42" w:rsidRPr="00E24FB4">
        <w:rPr>
          <w:b/>
          <w:bCs/>
          <w:sz w:val="20"/>
          <w:szCs w:val="20"/>
        </w:rPr>
        <w:t>High</w:t>
      </w:r>
    </w:p>
    <w:p w14:paraId="27D683FC" w14:textId="65152F5B" w:rsidR="00FD1E42" w:rsidRPr="00E24FB4" w:rsidRDefault="00FD1E42" w:rsidP="00436A87">
      <w:pPr>
        <w:pStyle w:val="ListParagraph"/>
        <w:numPr>
          <w:ilvl w:val="1"/>
          <w:numId w:val="1"/>
        </w:numPr>
        <w:rPr>
          <w:sz w:val="20"/>
          <w:szCs w:val="20"/>
        </w:rPr>
      </w:pPr>
      <w:r w:rsidRPr="00E24FB4">
        <w:rPr>
          <w:sz w:val="20"/>
          <w:szCs w:val="20"/>
        </w:rPr>
        <w:t xml:space="preserve">Positioned strongly as an alternate supplier to global </w:t>
      </w:r>
      <w:proofErr w:type="spellStart"/>
      <w:r w:rsidRPr="00E24FB4">
        <w:rPr>
          <w:sz w:val="20"/>
          <w:szCs w:val="20"/>
        </w:rPr>
        <w:t>agrochem</w:t>
      </w:r>
      <w:proofErr w:type="spellEnd"/>
      <w:r w:rsidRPr="00E24FB4">
        <w:rPr>
          <w:sz w:val="20"/>
          <w:szCs w:val="20"/>
        </w:rPr>
        <w:t xml:space="preserve"> MNCs looking for a diversified supplier base outside China</w:t>
      </w:r>
    </w:p>
    <w:p w14:paraId="72F98405" w14:textId="66F91381" w:rsidR="00FD1E42" w:rsidRPr="00E24FB4" w:rsidRDefault="00FD1E42" w:rsidP="00436A87">
      <w:pPr>
        <w:pStyle w:val="ListParagraph"/>
        <w:numPr>
          <w:ilvl w:val="1"/>
          <w:numId w:val="1"/>
        </w:numPr>
        <w:rPr>
          <w:sz w:val="20"/>
          <w:szCs w:val="20"/>
        </w:rPr>
      </w:pPr>
      <w:r w:rsidRPr="00E24FB4">
        <w:rPr>
          <w:sz w:val="20"/>
          <w:szCs w:val="20"/>
        </w:rPr>
        <w:t>Higher share of CRAMS business (largely non patented for now) and over time increase share of patented molecules CRAMs as well.</w:t>
      </w:r>
    </w:p>
    <w:p w14:paraId="5F0E718D" w14:textId="77777777" w:rsidR="00CD4D43" w:rsidRPr="00E24FB4" w:rsidRDefault="00CD4D43" w:rsidP="00CD4D43">
      <w:pPr>
        <w:pStyle w:val="ListParagraph"/>
        <w:ind w:left="1440"/>
        <w:rPr>
          <w:sz w:val="20"/>
          <w:szCs w:val="20"/>
        </w:rPr>
      </w:pPr>
    </w:p>
    <w:p w14:paraId="48270750" w14:textId="070BF593" w:rsidR="003D1A08" w:rsidRPr="00E24FB4" w:rsidRDefault="003D1A08" w:rsidP="00436A87">
      <w:pPr>
        <w:pStyle w:val="ListParagraph"/>
        <w:numPr>
          <w:ilvl w:val="0"/>
          <w:numId w:val="1"/>
        </w:numPr>
        <w:rPr>
          <w:b/>
          <w:bCs/>
          <w:sz w:val="20"/>
          <w:szCs w:val="20"/>
        </w:rPr>
      </w:pPr>
      <w:r w:rsidRPr="00E24FB4">
        <w:rPr>
          <w:b/>
          <w:bCs/>
          <w:sz w:val="20"/>
          <w:szCs w:val="20"/>
        </w:rPr>
        <w:t xml:space="preserve">Quality of earnings -&gt; </w:t>
      </w:r>
      <w:r w:rsidR="00B410EE" w:rsidRPr="00E24FB4">
        <w:rPr>
          <w:b/>
          <w:bCs/>
          <w:sz w:val="20"/>
          <w:szCs w:val="20"/>
        </w:rPr>
        <w:t>Medium</w:t>
      </w:r>
    </w:p>
    <w:p w14:paraId="416FA5E4" w14:textId="1E4CD2F6" w:rsidR="00AA4207" w:rsidRPr="005F3B64" w:rsidRDefault="00B410EE" w:rsidP="00BE0A43">
      <w:pPr>
        <w:pStyle w:val="ListParagraph"/>
        <w:numPr>
          <w:ilvl w:val="1"/>
          <w:numId w:val="1"/>
        </w:numPr>
        <w:rPr>
          <w:sz w:val="20"/>
          <w:szCs w:val="20"/>
        </w:rPr>
      </w:pPr>
      <w:r w:rsidRPr="005F3B64">
        <w:rPr>
          <w:sz w:val="20"/>
          <w:szCs w:val="20"/>
        </w:rPr>
        <w:t>Low free cash flow on account of high working capital intensity especially in last 3 years – Cash flow from operations to Operating profits less tax is 20%, 25% and -36% in FY 17, FY 18 and FY 19 respectively.</w:t>
      </w:r>
    </w:p>
    <w:tbl>
      <w:tblPr>
        <w:tblW w:w="9498" w:type="dxa"/>
        <w:tblInd w:w="-289" w:type="dxa"/>
        <w:tblLook w:val="04A0" w:firstRow="1" w:lastRow="0" w:firstColumn="1" w:lastColumn="0" w:noHBand="0" w:noVBand="1"/>
      </w:tblPr>
      <w:tblGrid>
        <w:gridCol w:w="2671"/>
        <w:gridCol w:w="636"/>
        <w:gridCol w:w="676"/>
        <w:gridCol w:w="676"/>
        <w:gridCol w:w="676"/>
        <w:gridCol w:w="676"/>
        <w:gridCol w:w="652"/>
        <w:gridCol w:w="709"/>
        <w:gridCol w:w="709"/>
        <w:gridCol w:w="708"/>
        <w:gridCol w:w="709"/>
      </w:tblGrid>
      <w:tr w:rsidR="00E24FB4" w:rsidRPr="00E24FB4" w14:paraId="2308B846" w14:textId="77777777" w:rsidTr="00D20E9F">
        <w:trPr>
          <w:trHeight w:val="269"/>
        </w:trPr>
        <w:tc>
          <w:tcPr>
            <w:tcW w:w="2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B9832" w14:textId="77777777" w:rsidR="00AA4207" w:rsidRPr="00E24FB4" w:rsidRDefault="00AA4207" w:rsidP="00AA4207">
            <w:pPr>
              <w:rPr>
                <w:b/>
                <w:bCs/>
                <w:sz w:val="18"/>
                <w:szCs w:val="18"/>
                <w:lang w:eastAsia="en-IN"/>
              </w:rPr>
            </w:pPr>
            <w:r w:rsidRPr="00E24FB4">
              <w:rPr>
                <w:b/>
                <w:bCs/>
                <w:sz w:val="18"/>
                <w:szCs w:val="18"/>
                <w:lang w:eastAsia="en-IN"/>
              </w:rPr>
              <w:t xml:space="preserve">Rs </w:t>
            </w:r>
            <w:proofErr w:type="spellStart"/>
            <w:r w:rsidRPr="00E24FB4">
              <w:rPr>
                <w:b/>
                <w:bCs/>
                <w:sz w:val="18"/>
                <w:szCs w:val="18"/>
                <w:lang w:eastAsia="en-IN"/>
              </w:rPr>
              <w:t>crs</w:t>
            </w:r>
            <w:proofErr w:type="spellEnd"/>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326AA2E3" w14:textId="533A7CE6" w:rsidR="00AA4207" w:rsidRPr="00E24FB4" w:rsidRDefault="00AA4207" w:rsidP="00AA4207">
            <w:pPr>
              <w:rPr>
                <w:b/>
                <w:bCs/>
                <w:sz w:val="18"/>
                <w:szCs w:val="18"/>
                <w:lang w:eastAsia="en-IN"/>
              </w:rPr>
            </w:pPr>
            <w:r w:rsidRPr="00E24FB4">
              <w:rPr>
                <w:b/>
                <w:bCs/>
                <w:sz w:val="18"/>
                <w:szCs w:val="18"/>
                <w:lang w:eastAsia="en-IN"/>
              </w:rPr>
              <w:t>FY</w:t>
            </w:r>
            <w:r w:rsidR="00CE2BAE" w:rsidRPr="00E24FB4">
              <w:rPr>
                <w:b/>
                <w:bCs/>
                <w:sz w:val="18"/>
                <w:szCs w:val="18"/>
                <w:lang w:eastAsia="en-IN"/>
              </w:rPr>
              <w:t>1</w:t>
            </w:r>
            <w:r w:rsidRPr="00E24FB4">
              <w:rPr>
                <w:b/>
                <w:bCs/>
                <w:sz w:val="18"/>
                <w:szCs w:val="18"/>
                <w:lang w:eastAsia="en-IN"/>
              </w:rPr>
              <w:t>0</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3FF7A785" w14:textId="05D65DEC" w:rsidR="00AA4207" w:rsidRPr="00E24FB4" w:rsidRDefault="00AA4207" w:rsidP="00AA4207">
            <w:pPr>
              <w:rPr>
                <w:b/>
                <w:bCs/>
                <w:sz w:val="18"/>
                <w:szCs w:val="18"/>
                <w:lang w:eastAsia="en-IN"/>
              </w:rPr>
            </w:pPr>
            <w:r w:rsidRPr="00E24FB4">
              <w:rPr>
                <w:b/>
                <w:bCs/>
                <w:sz w:val="18"/>
                <w:szCs w:val="18"/>
                <w:lang w:eastAsia="en-IN"/>
              </w:rPr>
              <w:t>FY11</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1AE276FB" w14:textId="0BDDDC76" w:rsidR="00AA4207" w:rsidRPr="00E24FB4" w:rsidRDefault="00AA4207" w:rsidP="00AA4207">
            <w:pPr>
              <w:rPr>
                <w:b/>
                <w:bCs/>
                <w:sz w:val="18"/>
                <w:szCs w:val="18"/>
                <w:lang w:eastAsia="en-IN"/>
              </w:rPr>
            </w:pPr>
            <w:r w:rsidRPr="00E24FB4">
              <w:rPr>
                <w:b/>
                <w:bCs/>
                <w:sz w:val="18"/>
                <w:szCs w:val="18"/>
                <w:lang w:eastAsia="en-IN"/>
              </w:rPr>
              <w:t>FY12</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7CFB309B" w14:textId="595F5768" w:rsidR="00AA4207" w:rsidRPr="00E24FB4" w:rsidRDefault="00AA4207" w:rsidP="00AA4207">
            <w:pPr>
              <w:rPr>
                <w:b/>
                <w:bCs/>
                <w:sz w:val="18"/>
                <w:szCs w:val="18"/>
                <w:lang w:eastAsia="en-IN"/>
              </w:rPr>
            </w:pPr>
            <w:r w:rsidRPr="00E24FB4">
              <w:rPr>
                <w:b/>
                <w:bCs/>
                <w:sz w:val="18"/>
                <w:szCs w:val="18"/>
                <w:lang w:eastAsia="en-IN"/>
              </w:rPr>
              <w:t>FY13</w:t>
            </w:r>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4B8497B4" w14:textId="39A927FE" w:rsidR="00AA4207" w:rsidRPr="00E24FB4" w:rsidRDefault="00AA4207" w:rsidP="00AA4207">
            <w:pPr>
              <w:rPr>
                <w:b/>
                <w:bCs/>
                <w:sz w:val="18"/>
                <w:szCs w:val="18"/>
                <w:lang w:eastAsia="en-IN"/>
              </w:rPr>
            </w:pPr>
            <w:r w:rsidRPr="00E24FB4">
              <w:rPr>
                <w:b/>
                <w:bCs/>
                <w:sz w:val="18"/>
                <w:szCs w:val="18"/>
                <w:lang w:eastAsia="en-IN"/>
              </w:rPr>
              <w:t>FY14</w:t>
            </w:r>
          </w:p>
        </w:tc>
        <w:tc>
          <w:tcPr>
            <w:tcW w:w="652" w:type="dxa"/>
            <w:tcBorders>
              <w:top w:val="single" w:sz="4" w:space="0" w:color="auto"/>
              <w:left w:val="nil"/>
              <w:bottom w:val="single" w:sz="4" w:space="0" w:color="auto"/>
              <w:right w:val="single" w:sz="4" w:space="0" w:color="auto"/>
            </w:tcBorders>
            <w:shd w:val="clear" w:color="auto" w:fill="auto"/>
            <w:vAlign w:val="center"/>
            <w:hideMark/>
          </w:tcPr>
          <w:p w14:paraId="38BCB5B9" w14:textId="297014BD" w:rsidR="00AA4207" w:rsidRPr="00E24FB4" w:rsidRDefault="00AA4207" w:rsidP="00AA4207">
            <w:pPr>
              <w:rPr>
                <w:b/>
                <w:bCs/>
                <w:sz w:val="18"/>
                <w:szCs w:val="18"/>
                <w:lang w:eastAsia="en-IN"/>
              </w:rPr>
            </w:pPr>
            <w:r w:rsidRPr="00E24FB4">
              <w:rPr>
                <w:b/>
                <w:bCs/>
                <w:sz w:val="18"/>
                <w:szCs w:val="18"/>
                <w:lang w:eastAsia="en-IN"/>
              </w:rPr>
              <w:t>FY15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94522C" w14:textId="77777777" w:rsidR="00AA4207" w:rsidRPr="00E24FB4" w:rsidRDefault="00AA4207" w:rsidP="00AA4207">
            <w:pPr>
              <w:rPr>
                <w:b/>
                <w:bCs/>
                <w:sz w:val="18"/>
                <w:szCs w:val="18"/>
                <w:lang w:eastAsia="en-IN"/>
              </w:rPr>
            </w:pPr>
            <w:r w:rsidRPr="00E24FB4">
              <w:rPr>
                <w:b/>
                <w:bCs/>
                <w:sz w:val="18"/>
                <w:szCs w:val="18"/>
                <w:lang w:eastAsia="en-IN"/>
              </w:rPr>
              <w:t>FY 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214543" w14:textId="77777777" w:rsidR="00AA4207" w:rsidRPr="00E24FB4" w:rsidRDefault="00AA4207" w:rsidP="00AA4207">
            <w:pPr>
              <w:rPr>
                <w:b/>
                <w:bCs/>
                <w:sz w:val="18"/>
                <w:szCs w:val="18"/>
                <w:lang w:eastAsia="en-IN"/>
              </w:rPr>
            </w:pPr>
            <w:r w:rsidRPr="00E24FB4">
              <w:rPr>
                <w:b/>
                <w:bCs/>
                <w:sz w:val="18"/>
                <w:szCs w:val="18"/>
                <w:lang w:eastAsia="en-IN"/>
              </w:rPr>
              <w:t>FY 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26B0F09" w14:textId="77777777" w:rsidR="00AA4207" w:rsidRPr="00E24FB4" w:rsidRDefault="00AA4207" w:rsidP="00AA4207">
            <w:pPr>
              <w:rPr>
                <w:b/>
                <w:bCs/>
                <w:sz w:val="18"/>
                <w:szCs w:val="18"/>
                <w:lang w:eastAsia="en-IN"/>
              </w:rPr>
            </w:pPr>
            <w:r w:rsidRPr="00E24FB4">
              <w:rPr>
                <w:b/>
                <w:bCs/>
                <w:sz w:val="18"/>
                <w:szCs w:val="18"/>
                <w:lang w:eastAsia="en-IN"/>
              </w:rPr>
              <w:t>FY 18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2C6AC4" w14:textId="77777777" w:rsidR="00AA4207" w:rsidRPr="00E24FB4" w:rsidRDefault="00AA4207" w:rsidP="00AA4207">
            <w:pPr>
              <w:rPr>
                <w:b/>
                <w:bCs/>
                <w:sz w:val="18"/>
                <w:szCs w:val="18"/>
                <w:lang w:eastAsia="en-IN"/>
              </w:rPr>
            </w:pPr>
            <w:r w:rsidRPr="00E24FB4">
              <w:rPr>
                <w:b/>
                <w:bCs/>
                <w:sz w:val="18"/>
                <w:szCs w:val="18"/>
                <w:lang w:eastAsia="en-IN"/>
              </w:rPr>
              <w:t>FY 19</w:t>
            </w:r>
          </w:p>
        </w:tc>
      </w:tr>
      <w:tr w:rsidR="00E24FB4" w:rsidRPr="00E24FB4" w14:paraId="426FB646" w14:textId="77777777" w:rsidTr="00D20E9F">
        <w:trPr>
          <w:trHeight w:val="260"/>
        </w:trPr>
        <w:tc>
          <w:tcPr>
            <w:tcW w:w="2671" w:type="dxa"/>
            <w:tcBorders>
              <w:top w:val="nil"/>
              <w:left w:val="single" w:sz="4" w:space="0" w:color="auto"/>
              <w:bottom w:val="single" w:sz="4" w:space="0" w:color="auto"/>
              <w:right w:val="single" w:sz="4" w:space="0" w:color="auto"/>
            </w:tcBorders>
            <w:shd w:val="clear" w:color="auto" w:fill="auto"/>
            <w:hideMark/>
          </w:tcPr>
          <w:p w14:paraId="20922275" w14:textId="4124CC96" w:rsidR="00AA4207" w:rsidRPr="00E24FB4" w:rsidRDefault="00AA4207" w:rsidP="00AA4207">
            <w:pPr>
              <w:rPr>
                <w:sz w:val="18"/>
                <w:szCs w:val="18"/>
                <w:lang w:eastAsia="en-IN"/>
              </w:rPr>
            </w:pPr>
            <w:r w:rsidRPr="00E24FB4">
              <w:rPr>
                <w:sz w:val="18"/>
                <w:szCs w:val="18"/>
                <w:lang w:eastAsia="en-IN"/>
              </w:rPr>
              <w:t>Operating Profits (OP)</w:t>
            </w:r>
          </w:p>
        </w:tc>
        <w:tc>
          <w:tcPr>
            <w:tcW w:w="636" w:type="dxa"/>
            <w:tcBorders>
              <w:top w:val="nil"/>
              <w:left w:val="nil"/>
              <w:bottom w:val="single" w:sz="4" w:space="0" w:color="auto"/>
              <w:right w:val="single" w:sz="4" w:space="0" w:color="auto"/>
            </w:tcBorders>
            <w:shd w:val="clear" w:color="auto" w:fill="auto"/>
            <w:hideMark/>
          </w:tcPr>
          <w:p w14:paraId="2140B1DB" w14:textId="77777777" w:rsidR="00AA4207" w:rsidRPr="00E24FB4" w:rsidRDefault="00AA4207" w:rsidP="00AA4207">
            <w:pPr>
              <w:jc w:val="right"/>
              <w:rPr>
                <w:sz w:val="18"/>
                <w:szCs w:val="18"/>
                <w:lang w:eastAsia="en-IN"/>
              </w:rPr>
            </w:pPr>
            <w:r w:rsidRPr="00E24FB4">
              <w:rPr>
                <w:sz w:val="18"/>
                <w:szCs w:val="18"/>
                <w:lang w:eastAsia="en-IN"/>
              </w:rPr>
              <w:t>6</w:t>
            </w:r>
          </w:p>
        </w:tc>
        <w:tc>
          <w:tcPr>
            <w:tcW w:w="676" w:type="dxa"/>
            <w:tcBorders>
              <w:top w:val="nil"/>
              <w:left w:val="nil"/>
              <w:bottom w:val="single" w:sz="4" w:space="0" w:color="auto"/>
              <w:right w:val="single" w:sz="4" w:space="0" w:color="auto"/>
            </w:tcBorders>
            <w:shd w:val="clear" w:color="auto" w:fill="auto"/>
            <w:noWrap/>
            <w:hideMark/>
          </w:tcPr>
          <w:p w14:paraId="49F3DFBF" w14:textId="77777777" w:rsidR="00AA4207" w:rsidRPr="00E24FB4" w:rsidRDefault="00AA4207" w:rsidP="00AA4207">
            <w:pPr>
              <w:jc w:val="right"/>
              <w:rPr>
                <w:sz w:val="18"/>
                <w:szCs w:val="18"/>
                <w:lang w:eastAsia="en-IN"/>
              </w:rPr>
            </w:pPr>
            <w:r w:rsidRPr="00E24FB4">
              <w:rPr>
                <w:sz w:val="18"/>
                <w:szCs w:val="18"/>
                <w:lang w:eastAsia="en-IN"/>
              </w:rPr>
              <w:t>7</w:t>
            </w:r>
          </w:p>
        </w:tc>
        <w:tc>
          <w:tcPr>
            <w:tcW w:w="676" w:type="dxa"/>
            <w:tcBorders>
              <w:top w:val="nil"/>
              <w:left w:val="nil"/>
              <w:bottom w:val="single" w:sz="4" w:space="0" w:color="auto"/>
              <w:right w:val="single" w:sz="4" w:space="0" w:color="auto"/>
            </w:tcBorders>
            <w:shd w:val="clear" w:color="auto" w:fill="auto"/>
            <w:noWrap/>
            <w:hideMark/>
          </w:tcPr>
          <w:p w14:paraId="2BDB7D47" w14:textId="77777777" w:rsidR="00AA4207" w:rsidRPr="00E24FB4" w:rsidRDefault="00AA4207" w:rsidP="00AA4207">
            <w:pPr>
              <w:jc w:val="right"/>
              <w:rPr>
                <w:sz w:val="18"/>
                <w:szCs w:val="18"/>
                <w:lang w:eastAsia="en-IN"/>
              </w:rPr>
            </w:pPr>
            <w:r w:rsidRPr="00E24FB4">
              <w:rPr>
                <w:sz w:val="18"/>
                <w:szCs w:val="18"/>
                <w:lang w:eastAsia="en-IN"/>
              </w:rPr>
              <w:t>17</w:t>
            </w:r>
          </w:p>
        </w:tc>
        <w:tc>
          <w:tcPr>
            <w:tcW w:w="676" w:type="dxa"/>
            <w:tcBorders>
              <w:top w:val="nil"/>
              <w:left w:val="nil"/>
              <w:bottom w:val="single" w:sz="4" w:space="0" w:color="auto"/>
              <w:right w:val="single" w:sz="4" w:space="0" w:color="auto"/>
            </w:tcBorders>
            <w:shd w:val="clear" w:color="auto" w:fill="auto"/>
            <w:noWrap/>
            <w:hideMark/>
          </w:tcPr>
          <w:p w14:paraId="1E61CCEF" w14:textId="77777777" w:rsidR="00AA4207" w:rsidRPr="00E24FB4" w:rsidRDefault="00AA4207" w:rsidP="00AA4207">
            <w:pPr>
              <w:jc w:val="right"/>
              <w:rPr>
                <w:sz w:val="18"/>
                <w:szCs w:val="18"/>
                <w:lang w:eastAsia="en-IN"/>
              </w:rPr>
            </w:pPr>
            <w:r w:rsidRPr="00E24FB4">
              <w:rPr>
                <w:sz w:val="18"/>
                <w:szCs w:val="18"/>
                <w:lang w:eastAsia="en-IN"/>
              </w:rPr>
              <w:t>26</w:t>
            </w:r>
          </w:p>
        </w:tc>
        <w:tc>
          <w:tcPr>
            <w:tcW w:w="676" w:type="dxa"/>
            <w:tcBorders>
              <w:top w:val="nil"/>
              <w:left w:val="nil"/>
              <w:bottom w:val="single" w:sz="4" w:space="0" w:color="auto"/>
              <w:right w:val="single" w:sz="4" w:space="0" w:color="auto"/>
            </w:tcBorders>
            <w:shd w:val="clear" w:color="auto" w:fill="auto"/>
            <w:noWrap/>
            <w:hideMark/>
          </w:tcPr>
          <w:p w14:paraId="28FFB2E2" w14:textId="77777777" w:rsidR="00AA4207" w:rsidRPr="00E24FB4" w:rsidRDefault="00AA4207" w:rsidP="00AA4207">
            <w:pPr>
              <w:jc w:val="right"/>
              <w:rPr>
                <w:sz w:val="18"/>
                <w:szCs w:val="18"/>
                <w:lang w:eastAsia="en-IN"/>
              </w:rPr>
            </w:pPr>
            <w:r w:rsidRPr="00E24FB4">
              <w:rPr>
                <w:sz w:val="18"/>
                <w:szCs w:val="18"/>
                <w:lang w:eastAsia="en-IN"/>
              </w:rPr>
              <w:t>64</w:t>
            </w:r>
          </w:p>
        </w:tc>
        <w:tc>
          <w:tcPr>
            <w:tcW w:w="652" w:type="dxa"/>
            <w:tcBorders>
              <w:top w:val="nil"/>
              <w:left w:val="nil"/>
              <w:bottom w:val="single" w:sz="4" w:space="0" w:color="auto"/>
              <w:right w:val="single" w:sz="4" w:space="0" w:color="auto"/>
            </w:tcBorders>
            <w:shd w:val="clear" w:color="auto" w:fill="auto"/>
            <w:noWrap/>
            <w:hideMark/>
          </w:tcPr>
          <w:p w14:paraId="747E5B92" w14:textId="77777777" w:rsidR="00AA4207" w:rsidRPr="00E24FB4" w:rsidRDefault="00AA4207" w:rsidP="00AA4207">
            <w:pPr>
              <w:jc w:val="right"/>
              <w:rPr>
                <w:sz w:val="18"/>
                <w:szCs w:val="18"/>
                <w:lang w:eastAsia="en-IN"/>
              </w:rPr>
            </w:pPr>
            <w:r w:rsidRPr="00E24FB4">
              <w:rPr>
                <w:sz w:val="18"/>
                <w:szCs w:val="18"/>
                <w:lang w:eastAsia="en-IN"/>
              </w:rPr>
              <w:t>82</w:t>
            </w:r>
          </w:p>
        </w:tc>
        <w:tc>
          <w:tcPr>
            <w:tcW w:w="709" w:type="dxa"/>
            <w:tcBorders>
              <w:top w:val="nil"/>
              <w:left w:val="nil"/>
              <w:bottom w:val="single" w:sz="4" w:space="0" w:color="auto"/>
              <w:right w:val="single" w:sz="4" w:space="0" w:color="auto"/>
            </w:tcBorders>
            <w:shd w:val="clear" w:color="auto" w:fill="auto"/>
            <w:noWrap/>
            <w:hideMark/>
          </w:tcPr>
          <w:p w14:paraId="2E8BD737" w14:textId="77777777" w:rsidR="00AA4207" w:rsidRPr="00E24FB4" w:rsidRDefault="00AA4207" w:rsidP="00AA4207">
            <w:pPr>
              <w:jc w:val="right"/>
              <w:rPr>
                <w:sz w:val="18"/>
                <w:szCs w:val="18"/>
                <w:lang w:eastAsia="en-IN"/>
              </w:rPr>
            </w:pPr>
            <w:r w:rsidRPr="00E24FB4">
              <w:rPr>
                <w:sz w:val="18"/>
                <w:szCs w:val="18"/>
                <w:lang w:eastAsia="en-IN"/>
              </w:rPr>
              <w:t>81</w:t>
            </w:r>
          </w:p>
        </w:tc>
        <w:tc>
          <w:tcPr>
            <w:tcW w:w="709" w:type="dxa"/>
            <w:tcBorders>
              <w:top w:val="nil"/>
              <w:left w:val="nil"/>
              <w:bottom w:val="single" w:sz="4" w:space="0" w:color="auto"/>
              <w:right w:val="single" w:sz="4" w:space="0" w:color="auto"/>
            </w:tcBorders>
            <w:shd w:val="clear" w:color="auto" w:fill="auto"/>
            <w:noWrap/>
            <w:hideMark/>
          </w:tcPr>
          <w:p w14:paraId="45CC3777" w14:textId="77777777" w:rsidR="00AA4207" w:rsidRPr="00E24FB4" w:rsidRDefault="00AA4207" w:rsidP="00AA4207">
            <w:pPr>
              <w:jc w:val="right"/>
              <w:rPr>
                <w:sz w:val="18"/>
                <w:szCs w:val="18"/>
                <w:lang w:eastAsia="en-IN"/>
              </w:rPr>
            </w:pPr>
            <w:r w:rsidRPr="00E24FB4">
              <w:rPr>
                <w:sz w:val="18"/>
                <w:szCs w:val="18"/>
                <w:lang w:eastAsia="en-IN"/>
              </w:rPr>
              <w:t>111</w:t>
            </w:r>
          </w:p>
        </w:tc>
        <w:tc>
          <w:tcPr>
            <w:tcW w:w="708" w:type="dxa"/>
            <w:tcBorders>
              <w:top w:val="nil"/>
              <w:left w:val="nil"/>
              <w:bottom w:val="single" w:sz="4" w:space="0" w:color="auto"/>
              <w:right w:val="single" w:sz="4" w:space="0" w:color="auto"/>
            </w:tcBorders>
            <w:shd w:val="clear" w:color="auto" w:fill="auto"/>
            <w:noWrap/>
            <w:hideMark/>
          </w:tcPr>
          <w:p w14:paraId="4678ABF1" w14:textId="77777777" w:rsidR="00AA4207" w:rsidRPr="00E24FB4" w:rsidRDefault="00AA4207" w:rsidP="00AA4207">
            <w:pPr>
              <w:jc w:val="right"/>
              <w:rPr>
                <w:sz w:val="18"/>
                <w:szCs w:val="18"/>
                <w:lang w:eastAsia="en-IN"/>
              </w:rPr>
            </w:pPr>
            <w:r w:rsidRPr="00E24FB4">
              <w:rPr>
                <w:sz w:val="18"/>
                <w:szCs w:val="18"/>
                <w:lang w:eastAsia="en-IN"/>
              </w:rPr>
              <w:t>153</w:t>
            </w:r>
          </w:p>
        </w:tc>
        <w:tc>
          <w:tcPr>
            <w:tcW w:w="709" w:type="dxa"/>
            <w:tcBorders>
              <w:top w:val="nil"/>
              <w:left w:val="nil"/>
              <w:bottom w:val="single" w:sz="4" w:space="0" w:color="auto"/>
              <w:right w:val="single" w:sz="4" w:space="0" w:color="auto"/>
            </w:tcBorders>
            <w:shd w:val="clear" w:color="auto" w:fill="auto"/>
            <w:noWrap/>
            <w:hideMark/>
          </w:tcPr>
          <w:p w14:paraId="1E6922FB" w14:textId="77777777" w:rsidR="00AA4207" w:rsidRPr="00E24FB4" w:rsidRDefault="00AA4207" w:rsidP="00AA4207">
            <w:pPr>
              <w:jc w:val="right"/>
              <w:rPr>
                <w:sz w:val="18"/>
                <w:szCs w:val="18"/>
                <w:lang w:eastAsia="en-IN"/>
              </w:rPr>
            </w:pPr>
            <w:r w:rsidRPr="00E24FB4">
              <w:rPr>
                <w:sz w:val="18"/>
                <w:szCs w:val="18"/>
                <w:lang w:eastAsia="en-IN"/>
              </w:rPr>
              <w:t>188</w:t>
            </w:r>
          </w:p>
        </w:tc>
      </w:tr>
      <w:tr w:rsidR="00E24FB4" w:rsidRPr="00E24FB4" w14:paraId="423723CD" w14:textId="77777777" w:rsidTr="00D20E9F">
        <w:trPr>
          <w:trHeight w:val="260"/>
        </w:trPr>
        <w:tc>
          <w:tcPr>
            <w:tcW w:w="2671" w:type="dxa"/>
            <w:tcBorders>
              <w:top w:val="nil"/>
              <w:left w:val="single" w:sz="4" w:space="0" w:color="auto"/>
              <w:bottom w:val="single" w:sz="4" w:space="0" w:color="auto"/>
              <w:right w:val="single" w:sz="4" w:space="0" w:color="auto"/>
            </w:tcBorders>
            <w:shd w:val="clear" w:color="auto" w:fill="auto"/>
            <w:hideMark/>
          </w:tcPr>
          <w:p w14:paraId="52B07305" w14:textId="77777777" w:rsidR="00AA4207" w:rsidRPr="00E24FB4" w:rsidRDefault="00AA4207" w:rsidP="00AA4207">
            <w:pPr>
              <w:rPr>
                <w:sz w:val="18"/>
                <w:szCs w:val="18"/>
                <w:lang w:eastAsia="en-IN"/>
              </w:rPr>
            </w:pPr>
            <w:r w:rsidRPr="00E24FB4">
              <w:rPr>
                <w:sz w:val="18"/>
                <w:szCs w:val="18"/>
                <w:lang w:eastAsia="en-IN"/>
              </w:rPr>
              <w:t>Less taxes</w:t>
            </w:r>
          </w:p>
        </w:tc>
        <w:tc>
          <w:tcPr>
            <w:tcW w:w="636" w:type="dxa"/>
            <w:tcBorders>
              <w:top w:val="nil"/>
              <w:left w:val="nil"/>
              <w:bottom w:val="single" w:sz="4" w:space="0" w:color="auto"/>
              <w:right w:val="single" w:sz="4" w:space="0" w:color="auto"/>
            </w:tcBorders>
            <w:shd w:val="clear" w:color="auto" w:fill="auto"/>
            <w:hideMark/>
          </w:tcPr>
          <w:p w14:paraId="56396D9E" w14:textId="77777777" w:rsidR="00AA4207" w:rsidRPr="00E24FB4" w:rsidRDefault="00AA4207" w:rsidP="00AA4207">
            <w:pPr>
              <w:jc w:val="right"/>
              <w:rPr>
                <w:sz w:val="18"/>
                <w:szCs w:val="18"/>
                <w:lang w:eastAsia="en-IN"/>
              </w:rPr>
            </w:pPr>
            <w:r w:rsidRPr="00E24FB4">
              <w:rPr>
                <w:sz w:val="18"/>
                <w:szCs w:val="18"/>
                <w:lang w:eastAsia="en-IN"/>
              </w:rPr>
              <w:t>-3</w:t>
            </w:r>
          </w:p>
        </w:tc>
        <w:tc>
          <w:tcPr>
            <w:tcW w:w="676" w:type="dxa"/>
            <w:tcBorders>
              <w:top w:val="nil"/>
              <w:left w:val="nil"/>
              <w:bottom w:val="single" w:sz="4" w:space="0" w:color="auto"/>
              <w:right w:val="single" w:sz="4" w:space="0" w:color="auto"/>
            </w:tcBorders>
            <w:shd w:val="clear" w:color="auto" w:fill="auto"/>
            <w:noWrap/>
            <w:hideMark/>
          </w:tcPr>
          <w:p w14:paraId="742F2854" w14:textId="77777777" w:rsidR="00AA4207" w:rsidRPr="00E24FB4" w:rsidRDefault="00AA4207" w:rsidP="00AA4207">
            <w:pPr>
              <w:jc w:val="right"/>
              <w:rPr>
                <w:sz w:val="18"/>
                <w:szCs w:val="18"/>
                <w:lang w:eastAsia="en-IN"/>
              </w:rPr>
            </w:pPr>
            <w:r w:rsidRPr="00E24FB4">
              <w:rPr>
                <w:sz w:val="18"/>
                <w:szCs w:val="18"/>
                <w:lang w:eastAsia="en-IN"/>
              </w:rPr>
              <w:t>-2</w:t>
            </w:r>
          </w:p>
        </w:tc>
        <w:tc>
          <w:tcPr>
            <w:tcW w:w="676" w:type="dxa"/>
            <w:tcBorders>
              <w:top w:val="nil"/>
              <w:left w:val="nil"/>
              <w:bottom w:val="single" w:sz="4" w:space="0" w:color="auto"/>
              <w:right w:val="single" w:sz="4" w:space="0" w:color="auto"/>
            </w:tcBorders>
            <w:shd w:val="clear" w:color="auto" w:fill="auto"/>
            <w:noWrap/>
            <w:hideMark/>
          </w:tcPr>
          <w:p w14:paraId="502B07DD" w14:textId="77777777" w:rsidR="00AA4207" w:rsidRPr="00E24FB4" w:rsidRDefault="00AA4207" w:rsidP="00AA4207">
            <w:pPr>
              <w:jc w:val="right"/>
              <w:rPr>
                <w:sz w:val="18"/>
                <w:szCs w:val="18"/>
                <w:lang w:eastAsia="en-IN"/>
              </w:rPr>
            </w:pPr>
            <w:r w:rsidRPr="00E24FB4">
              <w:rPr>
                <w:sz w:val="18"/>
                <w:szCs w:val="18"/>
                <w:lang w:eastAsia="en-IN"/>
              </w:rPr>
              <w:t>-4</w:t>
            </w:r>
          </w:p>
        </w:tc>
        <w:tc>
          <w:tcPr>
            <w:tcW w:w="676" w:type="dxa"/>
            <w:tcBorders>
              <w:top w:val="nil"/>
              <w:left w:val="nil"/>
              <w:bottom w:val="single" w:sz="4" w:space="0" w:color="auto"/>
              <w:right w:val="single" w:sz="4" w:space="0" w:color="auto"/>
            </w:tcBorders>
            <w:shd w:val="clear" w:color="auto" w:fill="auto"/>
            <w:noWrap/>
            <w:hideMark/>
          </w:tcPr>
          <w:p w14:paraId="1DD9921D" w14:textId="77777777" w:rsidR="00AA4207" w:rsidRPr="00E24FB4" w:rsidRDefault="00AA4207" w:rsidP="00AA4207">
            <w:pPr>
              <w:jc w:val="right"/>
              <w:rPr>
                <w:sz w:val="18"/>
                <w:szCs w:val="18"/>
                <w:lang w:eastAsia="en-IN"/>
              </w:rPr>
            </w:pPr>
            <w:r w:rsidRPr="00E24FB4">
              <w:rPr>
                <w:sz w:val="18"/>
                <w:szCs w:val="18"/>
                <w:lang w:eastAsia="en-IN"/>
              </w:rPr>
              <w:t>-5</w:t>
            </w:r>
          </w:p>
        </w:tc>
        <w:tc>
          <w:tcPr>
            <w:tcW w:w="676" w:type="dxa"/>
            <w:tcBorders>
              <w:top w:val="nil"/>
              <w:left w:val="nil"/>
              <w:bottom w:val="single" w:sz="4" w:space="0" w:color="auto"/>
              <w:right w:val="single" w:sz="4" w:space="0" w:color="auto"/>
            </w:tcBorders>
            <w:shd w:val="clear" w:color="auto" w:fill="auto"/>
            <w:noWrap/>
            <w:hideMark/>
          </w:tcPr>
          <w:p w14:paraId="3EC71A6F" w14:textId="77777777" w:rsidR="00AA4207" w:rsidRPr="00E24FB4" w:rsidRDefault="00AA4207" w:rsidP="00AA4207">
            <w:pPr>
              <w:jc w:val="right"/>
              <w:rPr>
                <w:sz w:val="18"/>
                <w:szCs w:val="18"/>
                <w:lang w:eastAsia="en-IN"/>
              </w:rPr>
            </w:pPr>
            <w:r w:rsidRPr="00E24FB4">
              <w:rPr>
                <w:sz w:val="18"/>
                <w:szCs w:val="18"/>
                <w:lang w:eastAsia="en-IN"/>
              </w:rPr>
              <w:t>-10</w:t>
            </w:r>
          </w:p>
        </w:tc>
        <w:tc>
          <w:tcPr>
            <w:tcW w:w="652" w:type="dxa"/>
            <w:tcBorders>
              <w:top w:val="nil"/>
              <w:left w:val="nil"/>
              <w:bottom w:val="single" w:sz="4" w:space="0" w:color="auto"/>
              <w:right w:val="single" w:sz="4" w:space="0" w:color="auto"/>
            </w:tcBorders>
            <w:shd w:val="clear" w:color="auto" w:fill="auto"/>
            <w:noWrap/>
            <w:hideMark/>
          </w:tcPr>
          <w:p w14:paraId="774DDB21" w14:textId="77777777" w:rsidR="00AA4207" w:rsidRPr="00E24FB4" w:rsidRDefault="00AA4207" w:rsidP="00AA4207">
            <w:pPr>
              <w:jc w:val="right"/>
              <w:rPr>
                <w:sz w:val="18"/>
                <w:szCs w:val="18"/>
                <w:lang w:eastAsia="en-IN"/>
              </w:rPr>
            </w:pPr>
            <w:r w:rsidRPr="00E24FB4">
              <w:rPr>
                <w:sz w:val="18"/>
                <w:szCs w:val="18"/>
                <w:lang w:eastAsia="en-IN"/>
              </w:rPr>
              <w:t>-16</w:t>
            </w:r>
          </w:p>
        </w:tc>
        <w:tc>
          <w:tcPr>
            <w:tcW w:w="709" w:type="dxa"/>
            <w:tcBorders>
              <w:top w:val="nil"/>
              <w:left w:val="nil"/>
              <w:bottom w:val="single" w:sz="4" w:space="0" w:color="auto"/>
              <w:right w:val="single" w:sz="4" w:space="0" w:color="auto"/>
            </w:tcBorders>
            <w:shd w:val="clear" w:color="auto" w:fill="auto"/>
            <w:noWrap/>
            <w:hideMark/>
          </w:tcPr>
          <w:p w14:paraId="00DC73C8" w14:textId="77777777" w:rsidR="00AA4207" w:rsidRPr="00E24FB4" w:rsidRDefault="00AA4207" w:rsidP="00AA4207">
            <w:pPr>
              <w:jc w:val="right"/>
              <w:rPr>
                <w:sz w:val="18"/>
                <w:szCs w:val="18"/>
                <w:lang w:eastAsia="en-IN"/>
              </w:rPr>
            </w:pPr>
            <w:r w:rsidRPr="00E24FB4">
              <w:rPr>
                <w:sz w:val="18"/>
                <w:szCs w:val="18"/>
                <w:lang w:eastAsia="en-IN"/>
              </w:rPr>
              <w:t>-18</w:t>
            </w:r>
          </w:p>
        </w:tc>
        <w:tc>
          <w:tcPr>
            <w:tcW w:w="709" w:type="dxa"/>
            <w:tcBorders>
              <w:top w:val="nil"/>
              <w:left w:val="nil"/>
              <w:bottom w:val="single" w:sz="4" w:space="0" w:color="auto"/>
              <w:right w:val="single" w:sz="4" w:space="0" w:color="auto"/>
            </w:tcBorders>
            <w:shd w:val="clear" w:color="auto" w:fill="auto"/>
            <w:noWrap/>
            <w:hideMark/>
          </w:tcPr>
          <w:p w14:paraId="24527DA0" w14:textId="77777777" w:rsidR="00AA4207" w:rsidRPr="00E24FB4" w:rsidRDefault="00AA4207" w:rsidP="00AA4207">
            <w:pPr>
              <w:jc w:val="right"/>
              <w:rPr>
                <w:sz w:val="18"/>
                <w:szCs w:val="18"/>
                <w:lang w:eastAsia="en-IN"/>
              </w:rPr>
            </w:pPr>
            <w:r w:rsidRPr="00E24FB4">
              <w:rPr>
                <w:sz w:val="18"/>
                <w:szCs w:val="18"/>
                <w:lang w:eastAsia="en-IN"/>
              </w:rPr>
              <w:t>-29</w:t>
            </w:r>
          </w:p>
        </w:tc>
        <w:tc>
          <w:tcPr>
            <w:tcW w:w="708" w:type="dxa"/>
            <w:tcBorders>
              <w:top w:val="nil"/>
              <w:left w:val="nil"/>
              <w:bottom w:val="single" w:sz="4" w:space="0" w:color="auto"/>
              <w:right w:val="single" w:sz="4" w:space="0" w:color="auto"/>
            </w:tcBorders>
            <w:shd w:val="clear" w:color="auto" w:fill="auto"/>
            <w:noWrap/>
            <w:hideMark/>
          </w:tcPr>
          <w:p w14:paraId="0BAA1EEC" w14:textId="77777777" w:rsidR="00AA4207" w:rsidRPr="00E24FB4" w:rsidRDefault="00AA4207" w:rsidP="00AA4207">
            <w:pPr>
              <w:jc w:val="right"/>
              <w:rPr>
                <w:sz w:val="18"/>
                <w:szCs w:val="18"/>
                <w:lang w:eastAsia="en-IN"/>
              </w:rPr>
            </w:pPr>
            <w:r w:rsidRPr="00E24FB4">
              <w:rPr>
                <w:sz w:val="18"/>
                <w:szCs w:val="18"/>
                <w:lang w:eastAsia="en-IN"/>
              </w:rPr>
              <w:t>-37</w:t>
            </w:r>
          </w:p>
        </w:tc>
        <w:tc>
          <w:tcPr>
            <w:tcW w:w="709" w:type="dxa"/>
            <w:tcBorders>
              <w:top w:val="nil"/>
              <w:left w:val="nil"/>
              <w:bottom w:val="single" w:sz="4" w:space="0" w:color="auto"/>
              <w:right w:val="single" w:sz="4" w:space="0" w:color="auto"/>
            </w:tcBorders>
            <w:shd w:val="clear" w:color="auto" w:fill="auto"/>
            <w:noWrap/>
            <w:hideMark/>
          </w:tcPr>
          <w:p w14:paraId="187100C4" w14:textId="77777777" w:rsidR="00AA4207" w:rsidRPr="00E24FB4" w:rsidRDefault="00AA4207" w:rsidP="00AA4207">
            <w:pPr>
              <w:jc w:val="right"/>
              <w:rPr>
                <w:sz w:val="18"/>
                <w:szCs w:val="18"/>
                <w:lang w:eastAsia="en-IN"/>
              </w:rPr>
            </w:pPr>
            <w:r w:rsidRPr="00E24FB4">
              <w:rPr>
                <w:sz w:val="18"/>
                <w:szCs w:val="18"/>
                <w:lang w:eastAsia="en-IN"/>
              </w:rPr>
              <w:t>-44</w:t>
            </w:r>
          </w:p>
        </w:tc>
      </w:tr>
      <w:tr w:rsidR="00E24FB4" w:rsidRPr="00E24FB4" w14:paraId="7C1EB426" w14:textId="77777777" w:rsidTr="00D20E9F">
        <w:trPr>
          <w:trHeight w:val="260"/>
        </w:trPr>
        <w:tc>
          <w:tcPr>
            <w:tcW w:w="2671" w:type="dxa"/>
            <w:tcBorders>
              <w:top w:val="nil"/>
              <w:left w:val="single" w:sz="4" w:space="0" w:color="auto"/>
              <w:bottom w:val="single" w:sz="4" w:space="0" w:color="auto"/>
              <w:right w:val="single" w:sz="4" w:space="0" w:color="auto"/>
            </w:tcBorders>
            <w:shd w:val="clear" w:color="auto" w:fill="auto"/>
            <w:hideMark/>
          </w:tcPr>
          <w:p w14:paraId="58654155" w14:textId="1DF87AC6" w:rsidR="00AA4207" w:rsidRPr="00E24FB4" w:rsidRDefault="00AA4207" w:rsidP="00AA4207">
            <w:pPr>
              <w:rPr>
                <w:sz w:val="18"/>
                <w:szCs w:val="18"/>
                <w:lang w:eastAsia="en-IN"/>
              </w:rPr>
            </w:pPr>
            <w:r w:rsidRPr="00E24FB4">
              <w:rPr>
                <w:sz w:val="18"/>
                <w:szCs w:val="18"/>
                <w:lang w:eastAsia="en-IN"/>
              </w:rPr>
              <w:t>OP net of taxes (a)</w:t>
            </w:r>
          </w:p>
        </w:tc>
        <w:tc>
          <w:tcPr>
            <w:tcW w:w="636" w:type="dxa"/>
            <w:tcBorders>
              <w:top w:val="nil"/>
              <w:left w:val="nil"/>
              <w:bottom w:val="single" w:sz="4" w:space="0" w:color="auto"/>
              <w:right w:val="single" w:sz="4" w:space="0" w:color="auto"/>
            </w:tcBorders>
            <w:shd w:val="clear" w:color="auto" w:fill="auto"/>
            <w:hideMark/>
          </w:tcPr>
          <w:p w14:paraId="3F88318C" w14:textId="77777777" w:rsidR="00AA4207" w:rsidRPr="00E24FB4" w:rsidRDefault="00AA4207" w:rsidP="00AA4207">
            <w:pPr>
              <w:jc w:val="right"/>
              <w:rPr>
                <w:sz w:val="18"/>
                <w:szCs w:val="18"/>
                <w:lang w:eastAsia="en-IN"/>
              </w:rPr>
            </w:pPr>
            <w:r w:rsidRPr="00E24FB4">
              <w:rPr>
                <w:sz w:val="18"/>
                <w:szCs w:val="18"/>
                <w:lang w:eastAsia="en-IN"/>
              </w:rPr>
              <w:t>3</w:t>
            </w:r>
          </w:p>
        </w:tc>
        <w:tc>
          <w:tcPr>
            <w:tcW w:w="676" w:type="dxa"/>
            <w:tcBorders>
              <w:top w:val="nil"/>
              <w:left w:val="nil"/>
              <w:bottom w:val="single" w:sz="4" w:space="0" w:color="auto"/>
              <w:right w:val="single" w:sz="4" w:space="0" w:color="auto"/>
            </w:tcBorders>
            <w:shd w:val="clear" w:color="auto" w:fill="auto"/>
            <w:hideMark/>
          </w:tcPr>
          <w:p w14:paraId="66E18F44" w14:textId="77777777" w:rsidR="00AA4207" w:rsidRPr="00E24FB4" w:rsidRDefault="00AA4207" w:rsidP="00AA4207">
            <w:pPr>
              <w:jc w:val="right"/>
              <w:rPr>
                <w:sz w:val="18"/>
                <w:szCs w:val="18"/>
                <w:lang w:eastAsia="en-IN"/>
              </w:rPr>
            </w:pPr>
            <w:r w:rsidRPr="00E24FB4">
              <w:rPr>
                <w:sz w:val="18"/>
                <w:szCs w:val="18"/>
                <w:lang w:eastAsia="en-IN"/>
              </w:rPr>
              <w:t>5</w:t>
            </w:r>
          </w:p>
        </w:tc>
        <w:tc>
          <w:tcPr>
            <w:tcW w:w="676" w:type="dxa"/>
            <w:tcBorders>
              <w:top w:val="nil"/>
              <w:left w:val="nil"/>
              <w:bottom w:val="single" w:sz="4" w:space="0" w:color="auto"/>
              <w:right w:val="single" w:sz="4" w:space="0" w:color="auto"/>
            </w:tcBorders>
            <w:shd w:val="clear" w:color="auto" w:fill="auto"/>
            <w:hideMark/>
          </w:tcPr>
          <w:p w14:paraId="76420183" w14:textId="77777777" w:rsidR="00AA4207" w:rsidRPr="00E24FB4" w:rsidRDefault="00AA4207" w:rsidP="00AA4207">
            <w:pPr>
              <w:jc w:val="right"/>
              <w:rPr>
                <w:sz w:val="18"/>
                <w:szCs w:val="18"/>
                <w:lang w:eastAsia="en-IN"/>
              </w:rPr>
            </w:pPr>
            <w:r w:rsidRPr="00E24FB4">
              <w:rPr>
                <w:sz w:val="18"/>
                <w:szCs w:val="18"/>
                <w:lang w:eastAsia="en-IN"/>
              </w:rPr>
              <w:t>13</w:t>
            </w:r>
          </w:p>
        </w:tc>
        <w:tc>
          <w:tcPr>
            <w:tcW w:w="676" w:type="dxa"/>
            <w:tcBorders>
              <w:top w:val="nil"/>
              <w:left w:val="nil"/>
              <w:bottom w:val="single" w:sz="4" w:space="0" w:color="auto"/>
              <w:right w:val="single" w:sz="4" w:space="0" w:color="auto"/>
            </w:tcBorders>
            <w:shd w:val="clear" w:color="auto" w:fill="auto"/>
            <w:hideMark/>
          </w:tcPr>
          <w:p w14:paraId="5D40E850" w14:textId="77777777" w:rsidR="00AA4207" w:rsidRPr="00E24FB4" w:rsidRDefault="00AA4207" w:rsidP="00AA4207">
            <w:pPr>
              <w:jc w:val="right"/>
              <w:rPr>
                <w:sz w:val="18"/>
                <w:szCs w:val="18"/>
                <w:lang w:eastAsia="en-IN"/>
              </w:rPr>
            </w:pPr>
            <w:r w:rsidRPr="00E24FB4">
              <w:rPr>
                <w:sz w:val="18"/>
                <w:szCs w:val="18"/>
                <w:lang w:eastAsia="en-IN"/>
              </w:rPr>
              <w:t>21</w:t>
            </w:r>
          </w:p>
        </w:tc>
        <w:tc>
          <w:tcPr>
            <w:tcW w:w="676" w:type="dxa"/>
            <w:tcBorders>
              <w:top w:val="nil"/>
              <w:left w:val="nil"/>
              <w:bottom w:val="single" w:sz="4" w:space="0" w:color="auto"/>
              <w:right w:val="single" w:sz="4" w:space="0" w:color="auto"/>
            </w:tcBorders>
            <w:shd w:val="clear" w:color="auto" w:fill="auto"/>
            <w:hideMark/>
          </w:tcPr>
          <w:p w14:paraId="1E1D2A4B" w14:textId="77777777" w:rsidR="00AA4207" w:rsidRPr="00E24FB4" w:rsidRDefault="00AA4207" w:rsidP="00AA4207">
            <w:pPr>
              <w:jc w:val="right"/>
              <w:rPr>
                <w:sz w:val="18"/>
                <w:szCs w:val="18"/>
                <w:lang w:eastAsia="en-IN"/>
              </w:rPr>
            </w:pPr>
            <w:r w:rsidRPr="00E24FB4">
              <w:rPr>
                <w:sz w:val="18"/>
                <w:szCs w:val="18"/>
                <w:lang w:eastAsia="en-IN"/>
              </w:rPr>
              <w:t>54</w:t>
            </w:r>
          </w:p>
        </w:tc>
        <w:tc>
          <w:tcPr>
            <w:tcW w:w="652" w:type="dxa"/>
            <w:tcBorders>
              <w:top w:val="nil"/>
              <w:left w:val="nil"/>
              <w:bottom w:val="single" w:sz="4" w:space="0" w:color="auto"/>
              <w:right w:val="single" w:sz="4" w:space="0" w:color="auto"/>
            </w:tcBorders>
            <w:shd w:val="clear" w:color="auto" w:fill="auto"/>
            <w:hideMark/>
          </w:tcPr>
          <w:p w14:paraId="5FEC41EE" w14:textId="77777777" w:rsidR="00AA4207" w:rsidRPr="00E24FB4" w:rsidRDefault="00AA4207" w:rsidP="00AA4207">
            <w:pPr>
              <w:jc w:val="right"/>
              <w:rPr>
                <w:sz w:val="18"/>
                <w:szCs w:val="18"/>
                <w:lang w:eastAsia="en-IN"/>
              </w:rPr>
            </w:pPr>
            <w:r w:rsidRPr="00E24FB4">
              <w:rPr>
                <w:sz w:val="18"/>
                <w:szCs w:val="18"/>
                <w:lang w:eastAsia="en-IN"/>
              </w:rPr>
              <w:t>66</w:t>
            </w:r>
          </w:p>
        </w:tc>
        <w:tc>
          <w:tcPr>
            <w:tcW w:w="709" w:type="dxa"/>
            <w:tcBorders>
              <w:top w:val="nil"/>
              <w:left w:val="nil"/>
              <w:bottom w:val="single" w:sz="4" w:space="0" w:color="auto"/>
              <w:right w:val="single" w:sz="4" w:space="0" w:color="auto"/>
            </w:tcBorders>
            <w:shd w:val="clear" w:color="auto" w:fill="auto"/>
            <w:hideMark/>
          </w:tcPr>
          <w:p w14:paraId="05AA3AA1" w14:textId="77777777" w:rsidR="00AA4207" w:rsidRPr="00E24FB4" w:rsidRDefault="00AA4207" w:rsidP="00AA4207">
            <w:pPr>
              <w:jc w:val="right"/>
              <w:rPr>
                <w:sz w:val="18"/>
                <w:szCs w:val="18"/>
                <w:lang w:eastAsia="en-IN"/>
              </w:rPr>
            </w:pPr>
            <w:r w:rsidRPr="00E24FB4">
              <w:rPr>
                <w:sz w:val="18"/>
                <w:szCs w:val="18"/>
                <w:lang w:eastAsia="en-IN"/>
              </w:rPr>
              <w:t>63</w:t>
            </w:r>
          </w:p>
        </w:tc>
        <w:tc>
          <w:tcPr>
            <w:tcW w:w="709" w:type="dxa"/>
            <w:tcBorders>
              <w:top w:val="nil"/>
              <w:left w:val="nil"/>
              <w:bottom w:val="single" w:sz="4" w:space="0" w:color="auto"/>
              <w:right w:val="single" w:sz="4" w:space="0" w:color="auto"/>
            </w:tcBorders>
            <w:shd w:val="clear" w:color="auto" w:fill="auto"/>
            <w:hideMark/>
          </w:tcPr>
          <w:p w14:paraId="6E97ECEE" w14:textId="77777777" w:rsidR="00AA4207" w:rsidRPr="00E24FB4" w:rsidRDefault="00AA4207" w:rsidP="00AA4207">
            <w:pPr>
              <w:jc w:val="right"/>
              <w:rPr>
                <w:sz w:val="18"/>
                <w:szCs w:val="18"/>
                <w:lang w:eastAsia="en-IN"/>
              </w:rPr>
            </w:pPr>
            <w:r w:rsidRPr="00E24FB4">
              <w:rPr>
                <w:sz w:val="18"/>
                <w:szCs w:val="18"/>
                <w:lang w:eastAsia="en-IN"/>
              </w:rPr>
              <w:t>82</w:t>
            </w:r>
          </w:p>
        </w:tc>
        <w:tc>
          <w:tcPr>
            <w:tcW w:w="708" w:type="dxa"/>
            <w:tcBorders>
              <w:top w:val="nil"/>
              <w:left w:val="nil"/>
              <w:bottom w:val="single" w:sz="4" w:space="0" w:color="auto"/>
              <w:right w:val="single" w:sz="4" w:space="0" w:color="auto"/>
            </w:tcBorders>
            <w:shd w:val="clear" w:color="auto" w:fill="auto"/>
            <w:hideMark/>
          </w:tcPr>
          <w:p w14:paraId="55695A60" w14:textId="77777777" w:rsidR="00AA4207" w:rsidRPr="00E24FB4" w:rsidRDefault="00AA4207" w:rsidP="00AA4207">
            <w:pPr>
              <w:jc w:val="right"/>
              <w:rPr>
                <w:sz w:val="18"/>
                <w:szCs w:val="18"/>
                <w:lang w:eastAsia="en-IN"/>
              </w:rPr>
            </w:pPr>
            <w:r w:rsidRPr="00E24FB4">
              <w:rPr>
                <w:sz w:val="18"/>
                <w:szCs w:val="18"/>
                <w:lang w:eastAsia="en-IN"/>
              </w:rPr>
              <w:t>116</w:t>
            </w:r>
          </w:p>
        </w:tc>
        <w:tc>
          <w:tcPr>
            <w:tcW w:w="709" w:type="dxa"/>
            <w:tcBorders>
              <w:top w:val="nil"/>
              <w:left w:val="nil"/>
              <w:bottom w:val="single" w:sz="4" w:space="0" w:color="auto"/>
              <w:right w:val="single" w:sz="4" w:space="0" w:color="auto"/>
            </w:tcBorders>
            <w:shd w:val="clear" w:color="auto" w:fill="auto"/>
            <w:hideMark/>
          </w:tcPr>
          <w:p w14:paraId="45BCEEB7" w14:textId="77777777" w:rsidR="00AA4207" w:rsidRPr="00E24FB4" w:rsidRDefault="00AA4207" w:rsidP="00AA4207">
            <w:pPr>
              <w:jc w:val="right"/>
              <w:rPr>
                <w:sz w:val="18"/>
                <w:szCs w:val="18"/>
                <w:lang w:eastAsia="en-IN"/>
              </w:rPr>
            </w:pPr>
            <w:r w:rsidRPr="00E24FB4">
              <w:rPr>
                <w:sz w:val="18"/>
                <w:szCs w:val="18"/>
                <w:lang w:eastAsia="en-IN"/>
              </w:rPr>
              <w:t>144</w:t>
            </w:r>
          </w:p>
        </w:tc>
      </w:tr>
      <w:tr w:rsidR="00E24FB4" w:rsidRPr="00E24FB4" w14:paraId="05760F8F" w14:textId="77777777" w:rsidTr="00D20E9F">
        <w:trPr>
          <w:trHeight w:val="260"/>
        </w:trPr>
        <w:tc>
          <w:tcPr>
            <w:tcW w:w="2671" w:type="dxa"/>
            <w:tcBorders>
              <w:top w:val="nil"/>
              <w:left w:val="single" w:sz="4" w:space="0" w:color="auto"/>
              <w:bottom w:val="single" w:sz="4" w:space="0" w:color="auto"/>
              <w:right w:val="single" w:sz="4" w:space="0" w:color="auto"/>
            </w:tcBorders>
            <w:shd w:val="clear" w:color="auto" w:fill="auto"/>
            <w:hideMark/>
          </w:tcPr>
          <w:p w14:paraId="40F2158F" w14:textId="77777777" w:rsidR="00AA4207" w:rsidRPr="00E24FB4" w:rsidRDefault="00AA4207" w:rsidP="00AA4207">
            <w:pPr>
              <w:rPr>
                <w:sz w:val="18"/>
                <w:szCs w:val="18"/>
                <w:lang w:eastAsia="en-IN"/>
              </w:rPr>
            </w:pPr>
            <w:r w:rsidRPr="00E24FB4">
              <w:rPr>
                <w:sz w:val="18"/>
                <w:szCs w:val="18"/>
                <w:lang w:eastAsia="en-IN"/>
              </w:rPr>
              <w:t>Cash flow from operations (b)</w:t>
            </w:r>
          </w:p>
        </w:tc>
        <w:tc>
          <w:tcPr>
            <w:tcW w:w="636" w:type="dxa"/>
            <w:tcBorders>
              <w:top w:val="nil"/>
              <w:left w:val="nil"/>
              <w:bottom w:val="single" w:sz="4" w:space="0" w:color="auto"/>
              <w:right w:val="single" w:sz="4" w:space="0" w:color="auto"/>
            </w:tcBorders>
            <w:shd w:val="clear" w:color="auto" w:fill="auto"/>
            <w:hideMark/>
          </w:tcPr>
          <w:p w14:paraId="2231DD40" w14:textId="77777777" w:rsidR="00AA4207" w:rsidRPr="00E24FB4" w:rsidRDefault="00AA4207" w:rsidP="00AA4207">
            <w:pPr>
              <w:jc w:val="right"/>
              <w:rPr>
                <w:sz w:val="18"/>
                <w:szCs w:val="18"/>
                <w:lang w:eastAsia="en-IN"/>
              </w:rPr>
            </w:pPr>
            <w:r w:rsidRPr="00E24FB4">
              <w:rPr>
                <w:sz w:val="18"/>
                <w:szCs w:val="18"/>
                <w:lang w:eastAsia="en-IN"/>
              </w:rPr>
              <w:t>19</w:t>
            </w:r>
          </w:p>
        </w:tc>
        <w:tc>
          <w:tcPr>
            <w:tcW w:w="676" w:type="dxa"/>
            <w:tcBorders>
              <w:top w:val="nil"/>
              <w:left w:val="nil"/>
              <w:bottom w:val="single" w:sz="4" w:space="0" w:color="auto"/>
              <w:right w:val="single" w:sz="4" w:space="0" w:color="auto"/>
            </w:tcBorders>
            <w:shd w:val="clear" w:color="auto" w:fill="auto"/>
            <w:noWrap/>
            <w:hideMark/>
          </w:tcPr>
          <w:p w14:paraId="6E01B2F8" w14:textId="77777777" w:rsidR="00AA4207" w:rsidRPr="00E24FB4" w:rsidRDefault="00AA4207" w:rsidP="00AA4207">
            <w:pPr>
              <w:jc w:val="right"/>
              <w:rPr>
                <w:sz w:val="18"/>
                <w:szCs w:val="18"/>
                <w:lang w:eastAsia="en-IN"/>
              </w:rPr>
            </w:pPr>
            <w:r w:rsidRPr="00E24FB4">
              <w:rPr>
                <w:sz w:val="18"/>
                <w:szCs w:val="18"/>
                <w:lang w:eastAsia="en-IN"/>
              </w:rPr>
              <w:t>10</w:t>
            </w:r>
          </w:p>
        </w:tc>
        <w:tc>
          <w:tcPr>
            <w:tcW w:w="676" w:type="dxa"/>
            <w:tcBorders>
              <w:top w:val="nil"/>
              <w:left w:val="nil"/>
              <w:bottom w:val="single" w:sz="4" w:space="0" w:color="auto"/>
              <w:right w:val="single" w:sz="4" w:space="0" w:color="auto"/>
            </w:tcBorders>
            <w:shd w:val="clear" w:color="auto" w:fill="auto"/>
            <w:noWrap/>
            <w:hideMark/>
          </w:tcPr>
          <w:p w14:paraId="523BC250" w14:textId="77777777" w:rsidR="00AA4207" w:rsidRPr="00E24FB4" w:rsidRDefault="00AA4207" w:rsidP="00AA4207">
            <w:pPr>
              <w:jc w:val="right"/>
              <w:rPr>
                <w:sz w:val="18"/>
                <w:szCs w:val="18"/>
                <w:lang w:eastAsia="en-IN"/>
              </w:rPr>
            </w:pPr>
            <w:r w:rsidRPr="00E24FB4">
              <w:rPr>
                <w:sz w:val="18"/>
                <w:szCs w:val="18"/>
                <w:lang w:eastAsia="en-IN"/>
              </w:rPr>
              <w:t>13</w:t>
            </w:r>
          </w:p>
        </w:tc>
        <w:tc>
          <w:tcPr>
            <w:tcW w:w="676" w:type="dxa"/>
            <w:tcBorders>
              <w:top w:val="nil"/>
              <w:left w:val="nil"/>
              <w:bottom w:val="single" w:sz="4" w:space="0" w:color="auto"/>
              <w:right w:val="single" w:sz="4" w:space="0" w:color="auto"/>
            </w:tcBorders>
            <w:shd w:val="clear" w:color="auto" w:fill="auto"/>
            <w:noWrap/>
            <w:hideMark/>
          </w:tcPr>
          <w:p w14:paraId="599A5865" w14:textId="77777777" w:rsidR="00AA4207" w:rsidRPr="00E24FB4" w:rsidRDefault="00AA4207" w:rsidP="00AA4207">
            <w:pPr>
              <w:jc w:val="right"/>
              <w:rPr>
                <w:sz w:val="18"/>
                <w:szCs w:val="18"/>
                <w:lang w:eastAsia="en-IN"/>
              </w:rPr>
            </w:pPr>
            <w:r w:rsidRPr="00E24FB4">
              <w:rPr>
                <w:sz w:val="18"/>
                <w:szCs w:val="18"/>
                <w:lang w:eastAsia="en-IN"/>
              </w:rPr>
              <w:t>-8</w:t>
            </w:r>
          </w:p>
        </w:tc>
        <w:tc>
          <w:tcPr>
            <w:tcW w:w="676" w:type="dxa"/>
            <w:tcBorders>
              <w:top w:val="nil"/>
              <w:left w:val="nil"/>
              <w:bottom w:val="single" w:sz="4" w:space="0" w:color="auto"/>
              <w:right w:val="single" w:sz="4" w:space="0" w:color="auto"/>
            </w:tcBorders>
            <w:shd w:val="clear" w:color="auto" w:fill="auto"/>
            <w:noWrap/>
            <w:hideMark/>
          </w:tcPr>
          <w:p w14:paraId="113DF2A9" w14:textId="77777777" w:rsidR="00AA4207" w:rsidRPr="00E24FB4" w:rsidRDefault="00AA4207" w:rsidP="00AA4207">
            <w:pPr>
              <w:jc w:val="right"/>
              <w:rPr>
                <w:sz w:val="18"/>
                <w:szCs w:val="18"/>
                <w:lang w:eastAsia="en-IN"/>
              </w:rPr>
            </w:pPr>
            <w:r w:rsidRPr="00E24FB4">
              <w:rPr>
                <w:sz w:val="18"/>
                <w:szCs w:val="18"/>
                <w:lang w:eastAsia="en-IN"/>
              </w:rPr>
              <w:t>29</w:t>
            </w:r>
          </w:p>
        </w:tc>
        <w:tc>
          <w:tcPr>
            <w:tcW w:w="652" w:type="dxa"/>
            <w:tcBorders>
              <w:top w:val="nil"/>
              <w:left w:val="nil"/>
              <w:bottom w:val="single" w:sz="4" w:space="0" w:color="auto"/>
              <w:right w:val="single" w:sz="4" w:space="0" w:color="auto"/>
            </w:tcBorders>
            <w:shd w:val="clear" w:color="auto" w:fill="auto"/>
            <w:noWrap/>
            <w:hideMark/>
          </w:tcPr>
          <w:p w14:paraId="1092FA51" w14:textId="77777777" w:rsidR="00AA4207" w:rsidRPr="00E24FB4" w:rsidRDefault="00AA4207" w:rsidP="00AA4207">
            <w:pPr>
              <w:jc w:val="right"/>
              <w:rPr>
                <w:sz w:val="18"/>
                <w:szCs w:val="18"/>
                <w:lang w:eastAsia="en-IN"/>
              </w:rPr>
            </w:pPr>
            <w:r w:rsidRPr="00E24FB4">
              <w:rPr>
                <w:sz w:val="18"/>
                <w:szCs w:val="18"/>
                <w:lang w:eastAsia="en-IN"/>
              </w:rPr>
              <w:t>60</w:t>
            </w:r>
          </w:p>
        </w:tc>
        <w:tc>
          <w:tcPr>
            <w:tcW w:w="709" w:type="dxa"/>
            <w:tcBorders>
              <w:top w:val="nil"/>
              <w:left w:val="nil"/>
              <w:bottom w:val="single" w:sz="4" w:space="0" w:color="auto"/>
              <w:right w:val="single" w:sz="4" w:space="0" w:color="auto"/>
            </w:tcBorders>
            <w:shd w:val="clear" w:color="auto" w:fill="auto"/>
            <w:noWrap/>
            <w:hideMark/>
          </w:tcPr>
          <w:p w14:paraId="71999C63" w14:textId="77777777" w:rsidR="00AA4207" w:rsidRPr="00E24FB4" w:rsidRDefault="00AA4207" w:rsidP="00AA4207">
            <w:pPr>
              <w:jc w:val="right"/>
              <w:rPr>
                <w:sz w:val="18"/>
                <w:szCs w:val="18"/>
                <w:lang w:eastAsia="en-IN"/>
              </w:rPr>
            </w:pPr>
            <w:r w:rsidRPr="00E24FB4">
              <w:rPr>
                <w:sz w:val="18"/>
                <w:szCs w:val="18"/>
                <w:lang w:eastAsia="en-IN"/>
              </w:rPr>
              <w:t>47</w:t>
            </w:r>
          </w:p>
        </w:tc>
        <w:tc>
          <w:tcPr>
            <w:tcW w:w="709" w:type="dxa"/>
            <w:tcBorders>
              <w:top w:val="nil"/>
              <w:left w:val="nil"/>
              <w:bottom w:val="single" w:sz="4" w:space="0" w:color="auto"/>
              <w:right w:val="single" w:sz="4" w:space="0" w:color="auto"/>
            </w:tcBorders>
            <w:shd w:val="clear" w:color="auto" w:fill="auto"/>
            <w:noWrap/>
            <w:hideMark/>
          </w:tcPr>
          <w:p w14:paraId="2D116D30" w14:textId="77777777" w:rsidR="00AA4207" w:rsidRPr="00E24FB4" w:rsidRDefault="00AA4207" w:rsidP="00AA4207">
            <w:pPr>
              <w:jc w:val="right"/>
              <w:rPr>
                <w:sz w:val="18"/>
                <w:szCs w:val="18"/>
                <w:lang w:eastAsia="en-IN"/>
              </w:rPr>
            </w:pPr>
            <w:r w:rsidRPr="00E24FB4">
              <w:rPr>
                <w:sz w:val="18"/>
                <w:szCs w:val="18"/>
                <w:lang w:eastAsia="en-IN"/>
              </w:rPr>
              <w:t>16</w:t>
            </w:r>
          </w:p>
        </w:tc>
        <w:tc>
          <w:tcPr>
            <w:tcW w:w="708" w:type="dxa"/>
            <w:tcBorders>
              <w:top w:val="nil"/>
              <w:left w:val="nil"/>
              <w:bottom w:val="single" w:sz="4" w:space="0" w:color="auto"/>
              <w:right w:val="single" w:sz="4" w:space="0" w:color="auto"/>
            </w:tcBorders>
            <w:shd w:val="clear" w:color="auto" w:fill="auto"/>
            <w:noWrap/>
            <w:hideMark/>
          </w:tcPr>
          <w:p w14:paraId="1096A195" w14:textId="77777777" w:rsidR="00AA4207" w:rsidRPr="00E24FB4" w:rsidRDefault="00AA4207" w:rsidP="00AA4207">
            <w:pPr>
              <w:jc w:val="right"/>
              <w:rPr>
                <w:sz w:val="18"/>
                <w:szCs w:val="18"/>
                <w:lang w:eastAsia="en-IN"/>
              </w:rPr>
            </w:pPr>
            <w:r w:rsidRPr="00E24FB4">
              <w:rPr>
                <w:sz w:val="18"/>
                <w:szCs w:val="18"/>
                <w:lang w:eastAsia="en-IN"/>
              </w:rPr>
              <w:t>29</w:t>
            </w:r>
          </w:p>
        </w:tc>
        <w:tc>
          <w:tcPr>
            <w:tcW w:w="709" w:type="dxa"/>
            <w:tcBorders>
              <w:top w:val="nil"/>
              <w:left w:val="nil"/>
              <w:bottom w:val="single" w:sz="4" w:space="0" w:color="auto"/>
              <w:right w:val="single" w:sz="4" w:space="0" w:color="auto"/>
            </w:tcBorders>
            <w:shd w:val="clear" w:color="auto" w:fill="auto"/>
            <w:noWrap/>
            <w:hideMark/>
          </w:tcPr>
          <w:p w14:paraId="7DC18E1E" w14:textId="77777777" w:rsidR="00AA4207" w:rsidRPr="00E24FB4" w:rsidRDefault="00AA4207" w:rsidP="00AA4207">
            <w:pPr>
              <w:jc w:val="right"/>
              <w:rPr>
                <w:sz w:val="18"/>
                <w:szCs w:val="18"/>
                <w:lang w:eastAsia="en-IN"/>
              </w:rPr>
            </w:pPr>
            <w:r w:rsidRPr="00E24FB4">
              <w:rPr>
                <w:sz w:val="18"/>
                <w:szCs w:val="18"/>
                <w:lang w:eastAsia="en-IN"/>
              </w:rPr>
              <w:t>-52</w:t>
            </w:r>
          </w:p>
        </w:tc>
      </w:tr>
      <w:tr w:rsidR="00E24FB4" w:rsidRPr="00E24FB4" w14:paraId="2C419894" w14:textId="77777777" w:rsidTr="00D20E9F">
        <w:trPr>
          <w:trHeight w:val="260"/>
        </w:trPr>
        <w:tc>
          <w:tcPr>
            <w:tcW w:w="2671" w:type="dxa"/>
            <w:tcBorders>
              <w:top w:val="nil"/>
              <w:left w:val="single" w:sz="4" w:space="0" w:color="auto"/>
              <w:bottom w:val="single" w:sz="4" w:space="0" w:color="auto"/>
              <w:right w:val="single" w:sz="4" w:space="0" w:color="auto"/>
            </w:tcBorders>
            <w:shd w:val="clear" w:color="auto" w:fill="auto"/>
            <w:hideMark/>
          </w:tcPr>
          <w:p w14:paraId="1D3FA1C4" w14:textId="77777777" w:rsidR="00AA4207" w:rsidRPr="00E24FB4" w:rsidRDefault="00AA4207" w:rsidP="00AA4207">
            <w:pPr>
              <w:rPr>
                <w:sz w:val="18"/>
                <w:szCs w:val="18"/>
                <w:lang w:eastAsia="en-IN"/>
              </w:rPr>
            </w:pPr>
            <w:r w:rsidRPr="00E24FB4">
              <w:rPr>
                <w:sz w:val="18"/>
                <w:szCs w:val="18"/>
                <w:lang w:eastAsia="en-IN"/>
              </w:rPr>
              <w:t>CFO to OP (a/b)</w:t>
            </w:r>
          </w:p>
        </w:tc>
        <w:tc>
          <w:tcPr>
            <w:tcW w:w="636" w:type="dxa"/>
            <w:tcBorders>
              <w:top w:val="nil"/>
              <w:left w:val="nil"/>
              <w:bottom w:val="single" w:sz="4" w:space="0" w:color="auto"/>
              <w:right w:val="single" w:sz="4" w:space="0" w:color="auto"/>
            </w:tcBorders>
            <w:shd w:val="clear" w:color="auto" w:fill="auto"/>
            <w:hideMark/>
          </w:tcPr>
          <w:p w14:paraId="2D2D9440" w14:textId="77777777" w:rsidR="00AA4207" w:rsidRPr="00E24FB4" w:rsidRDefault="00AA4207" w:rsidP="00AA4207">
            <w:pPr>
              <w:jc w:val="right"/>
              <w:rPr>
                <w:sz w:val="18"/>
                <w:szCs w:val="18"/>
                <w:lang w:eastAsia="en-IN"/>
              </w:rPr>
            </w:pPr>
            <w:r w:rsidRPr="00E24FB4">
              <w:rPr>
                <w:sz w:val="18"/>
                <w:szCs w:val="18"/>
                <w:lang w:eastAsia="en-IN"/>
              </w:rPr>
              <w:t>633%</w:t>
            </w:r>
          </w:p>
        </w:tc>
        <w:tc>
          <w:tcPr>
            <w:tcW w:w="676" w:type="dxa"/>
            <w:tcBorders>
              <w:top w:val="nil"/>
              <w:left w:val="nil"/>
              <w:bottom w:val="single" w:sz="4" w:space="0" w:color="auto"/>
              <w:right w:val="single" w:sz="4" w:space="0" w:color="auto"/>
            </w:tcBorders>
            <w:shd w:val="clear" w:color="auto" w:fill="auto"/>
            <w:hideMark/>
          </w:tcPr>
          <w:p w14:paraId="489D2FFE" w14:textId="77777777" w:rsidR="00AA4207" w:rsidRPr="00E24FB4" w:rsidRDefault="00AA4207" w:rsidP="00AA4207">
            <w:pPr>
              <w:jc w:val="right"/>
              <w:rPr>
                <w:sz w:val="18"/>
                <w:szCs w:val="18"/>
                <w:lang w:eastAsia="en-IN"/>
              </w:rPr>
            </w:pPr>
            <w:r w:rsidRPr="00E24FB4">
              <w:rPr>
                <w:sz w:val="18"/>
                <w:szCs w:val="18"/>
                <w:lang w:eastAsia="en-IN"/>
              </w:rPr>
              <w:t>200%</w:t>
            </w:r>
          </w:p>
        </w:tc>
        <w:tc>
          <w:tcPr>
            <w:tcW w:w="676" w:type="dxa"/>
            <w:tcBorders>
              <w:top w:val="nil"/>
              <w:left w:val="nil"/>
              <w:bottom w:val="single" w:sz="4" w:space="0" w:color="auto"/>
              <w:right w:val="single" w:sz="4" w:space="0" w:color="auto"/>
            </w:tcBorders>
            <w:shd w:val="clear" w:color="auto" w:fill="auto"/>
            <w:hideMark/>
          </w:tcPr>
          <w:p w14:paraId="51470DD2" w14:textId="77777777" w:rsidR="00AA4207" w:rsidRPr="00E24FB4" w:rsidRDefault="00AA4207" w:rsidP="00AA4207">
            <w:pPr>
              <w:jc w:val="right"/>
              <w:rPr>
                <w:sz w:val="18"/>
                <w:szCs w:val="18"/>
                <w:lang w:eastAsia="en-IN"/>
              </w:rPr>
            </w:pPr>
            <w:r w:rsidRPr="00E24FB4">
              <w:rPr>
                <w:sz w:val="18"/>
                <w:szCs w:val="18"/>
                <w:lang w:eastAsia="en-IN"/>
              </w:rPr>
              <w:t>100%</w:t>
            </w:r>
          </w:p>
        </w:tc>
        <w:tc>
          <w:tcPr>
            <w:tcW w:w="676" w:type="dxa"/>
            <w:tcBorders>
              <w:top w:val="nil"/>
              <w:left w:val="nil"/>
              <w:bottom w:val="single" w:sz="4" w:space="0" w:color="auto"/>
              <w:right w:val="single" w:sz="4" w:space="0" w:color="auto"/>
            </w:tcBorders>
            <w:shd w:val="clear" w:color="auto" w:fill="auto"/>
            <w:hideMark/>
          </w:tcPr>
          <w:p w14:paraId="2DEA165E" w14:textId="77777777" w:rsidR="00AA4207" w:rsidRPr="00E24FB4" w:rsidRDefault="00AA4207" w:rsidP="00AA4207">
            <w:pPr>
              <w:jc w:val="right"/>
              <w:rPr>
                <w:sz w:val="18"/>
                <w:szCs w:val="18"/>
                <w:lang w:eastAsia="en-IN"/>
              </w:rPr>
            </w:pPr>
            <w:r w:rsidRPr="00E24FB4">
              <w:rPr>
                <w:sz w:val="18"/>
                <w:szCs w:val="18"/>
                <w:lang w:eastAsia="en-IN"/>
              </w:rPr>
              <w:t>-38%</w:t>
            </w:r>
          </w:p>
        </w:tc>
        <w:tc>
          <w:tcPr>
            <w:tcW w:w="676" w:type="dxa"/>
            <w:tcBorders>
              <w:top w:val="nil"/>
              <w:left w:val="nil"/>
              <w:bottom w:val="single" w:sz="4" w:space="0" w:color="auto"/>
              <w:right w:val="single" w:sz="4" w:space="0" w:color="auto"/>
            </w:tcBorders>
            <w:shd w:val="clear" w:color="auto" w:fill="auto"/>
            <w:hideMark/>
          </w:tcPr>
          <w:p w14:paraId="0868EF44" w14:textId="77777777" w:rsidR="00AA4207" w:rsidRPr="00E24FB4" w:rsidRDefault="00AA4207" w:rsidP="00AA4207">
            <w:pPr>
              <w:jc w:val="right"/>
              <w:rPr>
                <w:sz w:val="18"/>
                <w:szCs w:val="18"/>
                <w:lang w:eastAsia="en-IN"/>
              </w:rPr>
            </w:pPr>
            <w:r w:rsidRPr="00E24FB4">
              <w:rPr>
                <w:sz w:val="18"/>
                <w:szCs w:val="18"/>
                <w:lang w:eastAsia="en-IN"/>
              </w:rPr>
              <w:t>54%</w:t>
            </w:r>
          </w:p>
        </w:tc>
        <w:tc>
          <w:tcPr>
            <w:tcW w:w="652" w:type="dxa"/>
            <w:tcBorders>
              <w:top w:val="nil"/>
              <w:left w:val="nil"/>
              <w:bottom w:val="single" w:sz="4" w:space="0" w:color="auto"/>
              <w:right w:val="single" w:sz="4" w:space="0" w:color="auto"/>
            </w:tcBorders>
            <w:shd w:val="clear" w:color="auto" w:fill="auto"/>
            <w:hideMark/>
          </w:tcPr>
          <w:p w14:paraId="3CAFB262" w14:textId="77777777" w:rsidR="00AA4207" w:rsidRPr="00E24FB4" w:rsidRDefault="00AA4207" w:rsidP="00AA4207">
            <w:pPr>
              <w:jc w:val="right"/>
              <w:rPr>
                <w:sz w:val="18"/>
                <w:szCs w:val="18"/>
                <w:lang w:eastAsia="en-IN"/>
              </w:rPr>
            </w:pPr>
            <w:r w:rsidRPr="00E24FB4">
              <w:rPr>
                <w:sz w:val="18"/>
                <w:szCs w:val="18"/>
                <w:lang w:eastAsia="en-IN"/>
              </w:rPr>
              <w:t>91%</w:t>
            </w:r>
          </w:p>
        </w:tc>
        <w:tc>
          <w:tcPr>
            <w:tcW w:w="709" w:type="dxa"/>
            <w:tcBorders>
              <w:top w:val="nil"/>
              <w:left w:val="nil"/>
              <w:bottom w:val="single" w:sz="4" w:space="0" w:color="auto"/>
              <w:right w:val="single" w:sz="4" w:space="0" w:color="auto"/>
            </w:tcBorders>
            <w:shd w:val="clear" w:color="auto" w:fill="auto"/>
            <w:hideMark/>
          </w:tcPr>
          <w:p w14:paraId="3B5B39A9" w14:textId="77777777" w:rsidR="00AA4207" w:rsidRPr="00E24FB4" w:rsidRDefault="00AA4207" w:rsidP="00AA4207">
            <w:pPr>
              <w:jc w:val="right"/>
              <w:rPr>
                <w:sz w:val="18"/>
                <w:szCs w:val="18"/>
                <w:lang w:eastAsia="en-IN"/>
              </w:rPr>
            </w:pPr>
            <w:r w:rsidRPr="00E24FB4">
              <w:rPr>
                <w:sz w:val="18"/>
                <w:szCs w:val="18"/>
                <w:lang w:eastAsia="en-IN"/>
              </w:rPr>
              <w:t>75%</w:t>
            </w:r>
          </w:p>
        </w:tc>
        <w:tc>
          <w:tcPr>
            <w:tcW w:w="709" w:type="dxa"/>
            <w:tcBorders>
              <w:top w:val="nil"/>
              <w:left w:val="nil"/>
              <w:bottom w:val="single" w:sz="4" w:space="0" w:color="auto"/>
              <w:right w:val="single" w:sz="4" w:space="0" w:color="auto"/>
            </w:tcBorders>
            <w:shd w:val="clear" w:color="auto" w:fill="auto"/>
            <w:hideMark/>
          </w:tcPr>
          <w:p w14:paraId="35BFDCFD" w14:textId="77777777" w:rsidR="00AA4207" w:rsidRPr="00E24FB4" w:rsidRDefault="00AA4207" w:rsidP="00AA4207">
            <w:pPr>
              <w:jc w:val="right"/>
              <w:rPr>
                <w:sz w:val="18"/>
                <w:szCs w:val="18"/>
                <w:lang w:eastAsia="en-IN"/>
              </w:rPr>
            </w:pPr>
            <w:r w:rsidRPr="00E24FB4">
              <w:rPr>
                <w:sz w:val="18"/>
                <w:szCs w:val="18"/>
                <w:lang w:eastAsia="en-IN"/>
              </w:rPr>
              <w:t>20%</w:t>
            </w:r>
          </w:p>
        </w:tc>
        <w:tc>
          <w:tcPr>
            <w:tcW w:w="708" w:type="dxa"/>
            <w:tcBorders>
              <w:top w:val="nil"/>
              <w:left w:val="nil"/>
              <w:bottom w:val="single" w:sz="4" w:space="0" w:color="auto"/>
              <w:right w:val="single" w:sz="4" w:space="0" w:color="auto"/>
            </w:tcBorders>
            <w:shd w:val="clear" w:color="auto" w:fill="auto"/>
            <w:hideMark/>
          </w:tcPr>
          <w:p w14:paraId="1C8DB286" w14:textId="77777777" w:rsidR="00AA4207" w:rsidRPr="00E24FB4" w:rsidRDefault="00AA4207" w:rsidP="00AA4207">
            <w:pPr>
              <w:jc w:val="right"/>
              <w:rPr>
                <w:sz w:val="18"/>
                <w:szCs w:val="18"/>
                <w:lang w:eastAsia="en-IN"/>
              </w:rPr>
            </w:pPr>
            <w:r w:rsidRPr="00E24FB4">
              <w:rPr>
                <w:sz w:val="18"/>
                <w:szCs w:val="18"/>
                <w:lang w:eastAsia="en-IN"/>
              </w:rPr>
              <w:t>25%</w:t>
            </w:r>
          </w:p>
        </w:tc>
        <w:tc>
          <w:tcPr>
            <w:tcW w:w="709" w:type="dxa"/>
            <w:tcBorders>
              <w:top w:val="nil"/>
              <w:left w:val="nil"/>
              <w:bottom w:val="single" w:sz="4" w:space="0" w:color="auto"/>
              <w:right w:val="single" w:sz="4" w:space="0" w:color="auto"/>
            </w:tcBorders>
            <w:shd w:val="clear" w:color="auto" w:fill="auto"/>
            <w:hideMark/>
          </w:tcPr>
          <w:p w14:paraId="030685A4" w14:textId="77777777" w:rsidR="00AA4207" w:rsidRPr="00E24FB4" w:rsidRDefault="00AA4207" w:rsidP="00AA4207">
            <w:pPr>
              <w:jc w:val="right"/>
              <w:rPr>
                <w:sz w:val="18"/>
                <w:szCs w:val="18"/>
                <w:lang w:eastAsia="en-IN"/>
              </w:rPr>
            </w:pPr>
            <w:r w:rsidRPr="00E24FB4">
              <w:rPr>
                <w:sz w:val="18"/>
                <w:szCs w:val="18"/>
                <w:lang w:eastAsia="en-IN"/>
              </w:rPr>
              <w:t>-36%</w:t>
            </w:r>
          </w:p>
        </w:tc>
      </w:tr>
      <w:tr w:rsidR="00E24FB4" w:rsidRPr="00E24FB4" w14:paraId="1F0726CA" w14:textId="77777777" w:rsidTr="00D20E9F">
        <w:trPr>
          <w:trHeight w:val="260"/>
        </w:trPr>
        <w:tc>
          <w:tcPr>
            <w:tcW w:w="3307" w:type="dxa"/>
            <w:gridSpan w:val="2"/>
            <w:tcBorders>
              <w:top w:val="nil"/>
              <w:left w:val="single" w:sz="4" w:space="0" w:color="auto"/>
              <w:bottom w:val="single" w:sz="4" w:space="0" w:color="auto"/>
              <w:right w:val="single" w:sz="4" w:space="0" w:color="auto"/>
            </w:tcBorders>
            <w:shd w:val="clear" w:color="auto" w:fill="auto"/>
            <w:hideMark/>
          </w:tcPr>
          <w:p w14:paraId="3EF6421B" w14:textId="6EC73A8F" w:rsidR="00AA4207" w:rsidRPr="00E24FB4" w:rsidRDefault="00AA4207" w:rsidP="00AA4207">
            <w:pPr>
              <w:rPr>
                <w:b/>
                <w:bCs/>
                <w:sz w:val="18"/>
                <w:szCs w:val="18"/>
                <w:lang w:eastAsia="en-IN"/>
              </w:rPr>
            </w:pPr>
            <w:r w:rsidRPr="00E24FB4">
              <w:rPr>
                <w:b/>
                <w:bCs/>
                <w:sz w:val="18"/>
                <w:szCs w:val="18"/>
                <w:lang w:eastAsia="en-IN"/>
              </w:rPr>
              <w:t>Average CFO to OP over 10 years</w:t>
            </w:r>
          </w:p>
        </w:tc>
        <w:tc>
          <w:tcPr>
            <w:tcW w:w="676" w:type="dxa"/>
            <w:tcBorders>
              <w:top w:val="nil"/>
              <w:left w:val="nil"/>
              <w:bottom w:val="single" w:sz="4" w:space="0" w:color="auto"/>
              <w:right w:val="single" w:sz="4" w:space="0" w:color="auto"/>
            </w:tcBorders>
            <w:shd w:val="clear" w:color="auto" w:fill="auto"/>
            <w:noWrap/>
            <w:hideMark/>
          </w:tcPr>
          <w:p w14:paraId="0852CDAB" w14:textId="089D560B" w:rsidR="00AA4207" w:rsidRPr="00E24FB4" w:rsidRDefault="00AA4207" w:rsidP="00AA4207">
            <w:pPr>
              <w:rPr>
                <w:b/>
                <w:bCs/>
                <w:sz w:val="18"/>
                <w:szCs w:val="18"/>
                <w:lang w:eastAsia="en-IN"/>
              </w:rPr>
            </w:pPr>
            <w:r w:rsidRPr="00E24FB4">
              <w:rPr>
                <w:b/>
                <w:bCs/>
                <w:sz w:val="18"/>
                <w:szCs w:val="18"/>
                <w:lang w:eastAsia="en-IN"/>
              </w:rPr>
              <w:t>29%</w:t>
            </w:r>
          </w:p>
        </w:tc>
        <w:tc>
          <w:tcPr>
            <w:tcW w:w="676" w:type="dxa"/>
            <w:tcBorders>
              <w:top w:val="nil"/>
              <w:left w:val="nil"/>
              <w:bottom w:val="single" w:sz="4" w:space="0" w:color="auto"/>
              <w:right w:val="single" w:sz="4" w:space="0" w:color="auto"/>
            </w:tcBorders>
            <w:shd w:val="clear" w:color="auto" w:fill="auto"/>
            <w:noWrap/>
            <w:hideMark/>
          </w:tcPr>
          <w:p w14:paraId="6BA8D403" w14:textId="44AFD9BA" w:rsidR="00AA4207" w:rsidRPr="00E24FB4" w:rsidRDefault="00AA4207" w:rsidP="00AA4207">
            <w:pPr>
              <w:rPr>
                <w:sz w:val="18"/>
                <w:szCs w:val="18"/>
                <w:lang w:eastAsia="en-IN"/>
              </w:rPr>
            </w:pPr>
          </w:p>
        </w:tc>
        <w:tc>
          <w:tcPr>
            <w:tcW w:w="676" w:type="dxa"/>
            <w:tcBorders>
              <w:top w:val="nil"/>
              <w:left w:val="nil"/>
              <w:bottom w:val="single" w:sz="4" w:space="0" w:color="auto"/>
              <w:right w:val="single" w:sz="4" w:space="0" w:color="auto"/>
            </w:tcBorders>
            <w:shd w:val="clear" w:color="auto" w:fill="auto"/>
            <w:noWrap/>
            <w:hideMark/>
          </w:tcPr>
          <w:p w14:paraId="46DA6E73" w14:textId="29408E90" w:rsidR="00AA4207" w:rsidRPr="00E24FB4" w:rsidRDefault="00AA4207" w:rsidP="00AA4207">
            <w:pPr>
              <w:rPr>
                <w:sz w:val="18"/>
                <w:szCs w:val="18"/>
                <w:lang w:eastAsia="en-IN"/>
              </w:rPr>
            </w:pPr>
          </w:p>
        </w:tc>
        <w:tc>
          <w:tcPr>
            <w:tcW w:w="676" w:type="dxa"/>
            <w:tcBorders>
              <w:top w:val="nil"/>
              <w:left w:val="nil"/>
              <w:bottom w:val="single" w:sz="4" w:space="0" w:color="auto"/>
              <w:right w:val="single" w:sz="4" w:space="0" w:color="auto"/>
            </w:tcBorders>
            <w:shd w:val="clear" w:color="auto" w:fill="auto"/>
            <w:noWrap/>
            <w:hideMark/>
          </w:tcPr>
          <w:p w14:paraId="44CC1941" w14:textId="2CA9E38F" w:rsidR="00AA4207" w:rsidRPr="00E24FB4" w:rsidRDefault="00AA4207" w:rsidP="00AA4207">
            <w:pPr>
              <w:rPr>
                <w:sz w:val="18"/>
                <w:szCs w:val="18"/>
                <w:lang w:eastAsia="en-IN"/>
              </w:rPr>
            </w:pPr>
          </w:p>
        </w:tc>
        <w:tc>
          <w:tcPr>
            <w:tcW w:w="652" w:type="dxa"/>
            <w:tcBorders>
              <w:top w:val="nil"/>
              <w:left w:val="nil"/>
              <w:bottom w:val="single" w:sz="4" w:space="0" w:color="auto"/>
              <w:right w:val="single" w:sz="4" w:space="0" w:color="auto"/>
            </w:tcBorders>
            <w:shd w:val="clear" w:color="auto" w:fill="auto"/>
            <w:noWrap/>
            <w:hideMark/>
          </w:tcPr>
          <w:p w14:paraId="64F1A688" w14:textId="0C8BB61A" w:rsidR="00AA4207" w:rsidRPr="00E24FB4" w:rsidRDefault="00AA4207" w:rsidP="00AA4207">
            <w:pPr>
              <w:rPr>
                <w:sz w:val="18"/>
                <w:szCs w:val="18"/>
                <w:lang w:eastAsia="en-IN"/>
              </w:rPr>
            </w:pPr>
          </w:p>
        </w:tc>
        <w:tc>
          <w:tcPr>
            <w:tcW w:w="709" w:type="dxa"/>
            <w:tcBorders>
              <w:top w:val="nil"/>
              <w:left w:val="nil"/>
              <w:bottom w:val="single" w:sz="4" w:space="0" w:color="auto"/>
              <w:right w:val="single" w:sz="4" w:space="0" w:color="auto"/>
            </w:tcBorders>
            <w:shd w:val="clear" w:color="auto" w:fill="auto"/>
            <w:noWrap/>
            <w:hideMark/>
          </w:tcPr>
          <w:p w14:paraId="258E9A08" w14:textId="66D5AC0E" w:rsidR="00AA4207" w:rsidRPr="00E24FB4" w:rsidRDefault="00AA4207" w:rsidP="00AA4207">
            <w:pPr>
              <w:rPr>
                <w:sz w:val="18"/>
                <w:szCs w:val="18"/>
                <w:lang w:eastAsia="en-IN"/>
              </w:rPr>
            </w:pPr>
          </w:p>
        </w:tc>
        <w:tc>
          <w:tcPr>
            <w:tcW w:w="709" w:type="dxa"/>
            <w:tcBorders>
              <w:top w:val="nil"/>
              <w:left w:val="nil"/>
              <w:bottom w:val="single" w:sz="4" w:space="0" w:color="auto"/>
              <w:right w:val="single" w:sz="4" w:space="0" w:color="auto"/>
            </w:tcBorders>
            <w:shd w:val="clear" w:color="auto" w:fill="auto"/>
            <w:noWrap/>
            <w:hideMark/>
          </w:tcPr>
          <w:p w14:paraId="6AB7EA96" w14:textId="2E368029" w:rsidR="00AA4207" w:rsidRPr="00E24FB4" w:rsidRDefault="00AA4207" w:rsidP="00AA4207">
            <w:pPr>
              <w:rPr>
                <w:sz w:val="18"/>
                <w:szCs w:val="18"/>
                <w:lang w:eastAsia="en-IN"/>
              </w:rPr>
            </w:pPr>
          </w:p>
        </w:tc>
        <w:tc>
          <w:tcPr>
            <w:tcW w:w="708" w:type="dxa"/>
            <w:tcBorders>
              <w:top w:val="nil"/>
              <w:left w:val="nil"/>
              <w:bottom w:val="single" w:sz="4" w:space="0" w:color="auto"/>
              <w:right w:val="single" w:sz="4" w:space="0" w:color="auto"/>
            </w:tcBorders>
            <w:shd w:val="clear" w:color="auto" w:fill="auto"/>
            <w:noWrap/>
            <w:hideMark/>
          </w:tcPr>
          <w:p w14:paraId="2CAF79D9" w14:textId="7BDF6E05" w:rsidR="00AA4207" w:rsidRPr="00E24FB4" w:rsidRDefault="00AA4207" w:rsidP="00AA4207">
            <w:pPr>
              <w:rPr>
                <w:sz w:val="18"/>
                <w:szCs w:val="18"/>
                <w:lang w:eastAsia="en-IN"/>
              </w:rPr>
            </w:pPr>
          </w:p>
        </w:tc>
        <w:tc>
          <w:tcPr>
            <w:tcW w:w="709" w:type="dxa"/>
            <w:tcBorders>
              <w:top w:val="nil"/>
              <w:left w:val="nil"/>
              <w:bottom w:val="single" w:sz="4" w:space="0" w:color="auto"/>
              <w:right w:val="single" w:sz="4" w:space="0" w:color="auto"/>
            </w:tcBorders>
            <w:shd w:val="clear" w:color="auto" w:fill="auto"/>
            <w:noWrap/>
            <w:hideMark/>
          </w:tcPr>
          <w:p w14:paraId="62E24F40" w14:textId="458CC0CF" w:rsidR="00AA4207" w:rsidRPr="00E24FB4" w:rsidRDefault="00AA4207" w:rsidP="00AA4207">
            <w:pPr>
              <w:rPr>
                <w:sz w:val="18"/>
                <w:szCs w:val="18"/>
                <w:lang w:eastAsia="en-IN"/>
              </w:rPr>
            </w:pPr>
          </w:p>
        </w:tc>
      </w:tr>
      <w:tr w:rsidR="00E24FB4" w:rsidRPr="00E24FB4" w14:paraId="16417DC4" w14:textId="77777777" w:rsidTr="00D20E9F">
        <w:trPr>
          <w:trHeight w:val="260"/>
        </w:trPr>
        <w:tc>
          <w:tcPr>
            <w:tcW w:w="3307" w:type="dxa"/>
            <w:gridSpan w:val="2"/>
            <w:tcBorders>
              <w:top w:val="nil"/>
              <w:left w:val="single" w:sz="4" w:space="0" w:color="auto"/>
              <w:bottom w:val="single" w:sz="4" w:space="0" w:color="auto"/>
              <w:right w:val="single" w:sz="4" w:space="0" w:color="auto"/>
            </w:tcBorders>
            <w:shd w:val="clear" w:color="auto" w:fill="auto"/>
            <w:hideMark/>
          </w:tcPr>
          <w:p w14:paraId="5A24C1FF" w14:textId="2F6FCD3E" w:rsidR="00AA4207" w:rsidRPr="00E24FB4" w:rsidRDefault="00AA4207" w:rsidP="00AA4207">
            <w:pPr>
              <w:rPr>
                <w:b/>
                <w:bCs/>
                <w:sz w:val="18"/>
                <w:szCs w:val="18"/>
                <w:lang w:eastAsia="en-IN"/>
              </w:rPr>
            </w:pPr>
            <w:r w:rsidRPr="00E24FB4">
              <w:rPr>
                <w:b/>
                <w:bCs/>
                <w:sz w:val="18"/>
                <w:szCs w:val="18"/>
                <w:lang w:eastAsia="en-IN"/>
              </w:rPr>
              <w:t>Average CFO to OP over 5 years</w:t>
            </w:r>
          </w:p>
        </w:tc>
        <w:tc>
          <w:tcPr>
            <w:tcW w:w="676" w:type="dxa"/>
            <w:tcBorders>
              <w:top w:val="nil"/>
              <w:left w:val="nil"/>
              <w:bottom w:val="single" w:sz="4" w:space="0" w:color="auto"/>
              <w:right w:val="single" w:sz="4" w:space="0" w:color="auto"/>
            </w:tcBorders>
            <w:shd w:val="clear" w:color="auto" w:fill="auto"/>
            <w:noWrap/>
            <w:hideMark/>
          </w:tcPr>
          <w:p w14:paraId="4F332F6C" w14:textId="16FA9168" w:rsidR="00AA4207" w:rsidRPr="00E24FB4" w:rsidRDefault="00AA4207" w:rsidP="00AA4207">
            <w:pPr>
              <w:rPr>
                <w:b/>
                <w:bCs/>
                <w:sz w:val="18"/>
                <w:szCs w:val="18"/>
                <w:lang w:eastAsia="en-IN"/>
              </w:rPr>
            </w:pPr>
            <w:r w:rsidRPr="00E24FB4">
              <w:rPr>
                <w:b/>
                <w:bCs/>
                <w:sz w:val="18"/>
                <w:szCs w:val="18"/>
                <w:lang w:eastAsia="en-IN"/>
              </w:rPr>
              <w:t>21%</w:t>
            </w:r>
          </w:p>
        </w:tc>
        <w:tc>
          <w:tcPr>
            <w:tcW w:w="676" w:type="dxa"/>
            <w:tcBorders>
              <w:top w:val="nil"/>
              <w:left w:val="nil"/>
              <w:bottom w:val="single" w:sz="4" w:space="0" w:color="auto"/>
              <w:right w:val="single" w:sz="4" w:space="0" w:color="auto"/>
            </w:tcBorders>
            <w:shd w:val="clear" w:color="auto" w:fill="auto"/>
            <w:noWrap/>
            <w:hideMark/>
          </w:tcPr>
          <w:p w14:paraId="79AF2FA0" w14:textId="420A97ED" w:rsidR="00AA4207" w:rsidRPr="00E24FB4" w:rsidRDefault="00AA4207" w:rsidP="00AA4207">
            <w:pPr>
              <w:rPr>
                <w:sz w:val="18"/>
                <w:szCs w:val="18"/>
                <w:lang w:eastAsia="en-IN"/>
              </w:rPr>
            </w:pPr>
          </w:p>
        </w:tc>
        <w:tc>
          <w:tcPr>
            <w:tcW w:w="676" w:type="dxa"/>
            <w:tcBorders>
              <w:top w:val="nil"/>
              <w:left w:val="nil"/>
              <w:bottom w:val="single" w:sz="4" w:space="0" w:color="auto"/>
              <w:right w:val="single" w:sz="4" w:space="0" w:color="auto"/>
            </w:tcBorders>
            <w:shd w:val="clear" w:color="auto" w:fill="auto"/>
            <w:noWrap/>
            <w:hideMark/>
          </w:tcPr>
          <w:p w14:paraId="50C314D2" w14:textId="2B7338CA" w:rsidR="00AA4207" w:rsidRPr="00E24FB4" w:rsidRDefault="00AA4207" w:rsidP="00AA4207">
            <w:pPr>
              <w:rPr>
                <w:sz w:val="18"/>
                <w:szCs w:val="18"/>
                <w:lang w:eastAsia="en-IN"/>
              </w:rPr>
            </w:pPr>
          </w:p>
        </w:tc>
        <w:tc>
          <w:tcPr>
            <w:tcW w:w="676" w:type="dxa"/>
            <w:tcBorders>
              <w:top w:val="nil"/>
              <w:left w:val="nil"/>
              <w:bottom w:val="single" w:sz="4" w:space="0" w:color="auto"/>
              <w:right w:val="single" w:sz="4" w:space="0" w:color="auto"/>
            </w:tcBorders>
            <w:shd w:val="clear" w:color="auto" w:fill="auto"/>
            <w:noWrap/>
            <w:hideMark/>
          </w:tcPr>
          <w:p w14:paraId="67029454" w14:textId="7E56611D" w:rsidR="00AA4207" w:rsidRPr="00E24FB4" w:rsidRDefault="00AA4207" w:rsidP="00AA4207">
            <w:pPr>
              <w:rPr>
                <w:sz w:val="18"/>
                <w:szCs w:val="18"/>
                <w:lang w:eastAsia="en-IN"/>
              </w:rPr>
            </w:pPr>
          </w:p>
        </w:tc>
        <w:tc>
          <w:tcPr>
            <w:tcW w:w="652" w:type="dxa"/>
            <w:tcBorders>
              <w:top w:val="nil"/>
              <w:left w:val="nil"/>
              <w:bottom w:val="single" w:sz="4" w:space="0" w:color="auto"/>
              <w:right w:val="single" w:sz="4" w:space="0" w:color="auto"/>
            </w:tcBorders>
            <w:shd w:val="clear" w:color="auto" w:fill="auto"/>
            <w:noWrap/>
            <w:hideMark/>
          </w:tcPr>
          <w:p w14:paraId="690144C3" w14:textId="52D89D87" w:rsidR="00AA4207" w:rsidRPr="00E24FB4" w:rsidRDefault="00AA4207" w:rsidP="00AA4207">
            <w:pPr>
              <w:rPr>
                <w:sz w:val="18"/>
                <w:szCs w:val="18"/>
                <w:lang w:eastAsia="en-IN"/>
              </w:rPr>
            </w:pPr>
          </w:p>
        </w:tc>
        <w:tc>
          <w:tcPr>
            <w:tcW w:w="709" w:type="dxa"/>
            <w:tcBorders>
              <w:top w:val="nil"/>
              <w:left w:val="nil"/>
              <w:bottom w:val="single" w:sz="4" w:space="0" w:color="auto"/>
              <w:right w:val="single" w:sz="4" w:space="0" w:color="auto"/>
            </w:tcBorders>
            <w:shd w:val="clear" w:color="auto" w:fill="auto"/>
            <w:noWrap/>
            <w:hideMark/>
          </w:tcPr>
          <w:p w14:paraId="70B7DC68" w14:textId="5B2037F5" w:rsidR="00AA4207" w:rsidRPr="00E24FB4" w:rsidRDefault="00AA4207" w:rsidP="00AA4207">
            <w:pPr>
              <w:rPr>
                <w:sz w:val="18"/>
                <w:szCs w:val="18"/>
                <w:lang w:eastAsia="en-IN"/>
              </w:rPr>
            </w:pPr>
          </w:p>
        </w:tc>
        <w:tc>
          <w:tcPr>
            <w:tcW w:w="709" w:type="dxa"/>
            <w:tcBorders>
              <w:top w:val="nil"/>
              <w:left w:val="nil"/>
              <w:bottom w:val="single" w:sz="4" w:space="0" w:color="auto"/>
              <w:right w:val="single" w:sz="4" w:space="0" w:color="auto"/>
            </w:tcBorders>
            <w:shd w:val="clear" w:color="auto" w:fill="auto"/>
            <w:noWrap/>
            <w:hideMark/>
          </w:tcPr>
          <w:p w14:paraId="588F6D61" w14:textId="7E0F8BC4" w:rsidR="00AA4207" w:rsidRPr="00E24FB4" w:rsidRDefault="00AA4207" w:rsidP="00AA4207">
            <w:pPr>
              <w:rPr>
                <w:sz w:val="18"/>
                <w:szCs w:val="18"/>
                <w:lang w:eastAsia="en-IN"/>
              </w:rPr>
            </w:pPr>
          </w:p>
        </w:tc>
        <w:tc>
          <w:tcPr>
            <w:tcW w:w="708" w:type="dxa"/>
            <w:tcBorders>
              <w:top w:val="nil"/>
              <w:left w:val="nil"/>
              <w:bottom w:val="single" w:sz="4" w:space="0" w:color="auto"/>
              <w:right w:val="single" w:sz="4" w:space="0" w:color="auto"/>
            </w:tcBorders>
            <w:shd w:val="clear" w:color="auto" w:fill="auto"/>
            <w:noWrap/>
            <w:hideMark/>
          </w:tcPr>
          <w:p w14:paraId="1163F5C9" w14:textId="3571CF45" w:rsidR="00AA4207" w:rsidRPr="00E24FB4" w:rsidRDefault="00AA4207" w:rsidP="00AA4207">
            <w:pPr>
              <w:rPr>
                <w:sz w:val="18"/>
                <w:szCs w:val="18"/>
                <w:lang w:eastAsia="en-IN"/>
              </w:rPr>
            </w:pPr>
          </w:p>
        </w:tc>
        <w:tc>
          <w:tcPr>
            <w:tcW w:w="709" w:type="dxa"/>
            <w:tcBorders>
              <w:top w:val="nil"/>
              <w:left w:val="nil"/>
              <w:bottom w:val="single" w:sz="4" w:space="0" w:color="auto"/>
              <w:right w:val="single" w:sz="4" w:space="0" w:color="auto"/>
            </w:tcBorders>
            <w:shd w:val="clear" w:color="auto" w:fill="auto"/>
            <w:noWrap/>
            <w:hideMark/>
          </w:tcPr>
          <w:p w14:paraId="42D8E7CD" w14:textId="6A2967A6" w:rsidR="00AA4207" w:rsidRPr="00E24FB4" w:rsidRDefault="00AA4207" w:rsidP="00AA4207">
            <w:pPr>
              <w:rPr>
                <w:sz w:val="18"/>
                <w:szCs w:val="18"/>
                <w:lang w:eastAsia="en-IN"/>
              </w:rPr>
            </w:pPr>
          </w:p>
        </w:tc>
      </w:tr>
    </w:tbl>
    <w:p w14:paraId="00BCF0CF" w14:textId="77777777" w:rsidR="00B410EE" w:rsidRPr="00E24FB4" w:rsidRDefault="00B410EE" w:rsidP="001D2976">
      <w:pPr>
        <w:pStyle w:val="ListParagraph"/>
        <w:ind w:left="1080"/>
        <w:jc w:val="both"/>
        <w:rPr>
          <w:sz w:val="20"/>
          <w:szCs w:val="20"/>
        </w:rPr>
      </w:pPr>
    </w:p>
    <w:p w14:paraId="1CB32198" w14:textId="77777777" w:rsidR="000B6AC2" w:rsidRPr="00E24FB4" w:rsidRDefault="000B6AC2" w:rsidP="00B102E4">
      <w:pPr>
        <w:jc w:val="both"/>
        <w:rPr>
          <w:sz w:val="20"/>
          <w:szCs w:val="20"/>
        </w:rPr>
      </w:pPr>
      <w:r w:rsidRPr="00E24FB4">
        <w:rPr>
          <w:sz w:val="20"/>
          <w:szCs w:val="20"/>
        </w:rPr>
        <w:t>The low cash flow from operations can be explained as below:</w:t>
      </w:r>
    </w:p>
    <w:p w14:paraId="4A0C99E5" w14:textId="71A6A1A3" w:rsidR="000B6AC2" w:rsidRPr="00E24FB4" w:rsidRDefault="00E511ED" w:rsidP="00436A87">
      <w:pPr>
        <w:pStyle w:val="ListParagraph"/>
        <w:numPr>
          <w:ilvl w:val="0"/>
          <w:numId w:val="17"/>
        </w:numPr>
        <w:jc w:val="both"/>
        <w:rPr>
          <w:sz w:val="20"/>
          <w:szCs w:val="20"/>
        </w:rPr>
      </w:pPr>
      <w:r w:rsidRPr="00E24FB4">
        <w:rPr>
          <w:sz w:val="20"/>
          <w:szCs w:val="20"/>
          <w:shd w:val="clear" w:color="auto" w:fill="FFFFFF"/>
        </w:rPr>
        <w:t xml:space="preserve">BRL was competing with China for large part of its business. </w:t>
      </w:r>
      <w:r w:rsidR="000B6AC2" w:rsidRPr="00E24FB4">
        <w:rPr>
          <w:rStyle w:val="Strong"/>
          <w:b w:val="0"/>
          <w:bCs w:val="0"/>
          <w:sz w:val="20"/>
          <w:szCs w:val="20"/>
          <w:shd w:val="clear" w:color="auto" w:fill="FFFFFF"/>
        </w:rPr>
        <w:t>China used to give credit period of 6 months</w:t>
      </w:r>
      <w:r w:rsidR="000B6AC2" w:rsidRPr="00E24FB4">
        <w:rPr>
          <w:sz w:val="20"/>
          <w:szCs w:val="20"/>
          <w:shd w:val="clear" w:color="auto" w:fill="FFFFFF"/>
        </w:rPr>
        <w:t> to its customers. BR had to increase its debtor days to get contracts from some of these large customers which its balance sheet could afford. This is line with expansion in working capital cycle of other companies as well.</w:t>
      </w:r>
    </w:p>
    <w:p w14:paraId="046D4E20" w14:textId="1D915EB4" w:rsidR="000B6AC2" w:rsidRPr="00E24FB4" w:rsidRDefault="000B6AC2" w:rsidP="00436A87">
      <w:pPr>
        <w:pStyle w:val="ListParagraph"/>
        <w:numPr>
          <w:ilvl w:val="0"/>
          <w:numId w:val="17"/>
        </w:numPr>
        <w:jc w:val="both"/>
        <w:rPr>
          <w:sz w:val="20"/>
          <w:szCs w:val="20"/>
        </w:rPr>
      </w:pPr>
      <w:r w:rsidRPr="00E24FB4">
        <w:rPr>
          <w:sz w:val="20"/>
          <w:szCs w:val="20"/>
        </w:rPr>
        <w:t>The payable days for BRL (at c. 23 days as of FY 19 end) are the lowest in the industry (at c. 45-300 days as of FY 19 end) with the company makes upfront payments in exchange of discount. If we assume pay</w:t>
      </w:r>
      <w:r w:rsidR="00E16CD9" w:rsidRPr="00E24FB4">
        <w:rPr>
          <w:sz w:val="20"/>
          <w:szCs w:val="20"/>
        </w:rPr>
        <w:t>a</w:t>
      </w:r>
      <w:r w:rsidRPr="00E24FB4">
        <w:rPr>
          <w:sz w:val="20"/>
          <w:szCs w:val="20"/>
        </w:rPr>
        <w:t xml:space="preserve">bles of 120 days, </w:t>
      </w:r>
      <w:r w:rsidRPr="00E24FB4">
        <w:rPr>
          <w:b/>
          <w:bCs/>
          <w:sz w:val="20"/>
          <w:szCs w:val="20"/>
        </w:rPr>
        <w:t>the CFO to OP for FY 19 improves from -36% above to 91%.</w:t>
      </w:r>
    </w:p>
    <w:p w14:paraId="380DA939" w14:textId="23995E56" w:rsidR="000B6AC2" w:rsidRPr="00E24FB4" w:rsidRDefault="00E511ED" w:rsidP="00B102E4">
      <w:pPr>
        <w:jc w:val="both"/>
        <w:rPr>
          <w:sz w:val="20"/>
          <w:szCs w:val="20"/>
        </w:rPr>
      </w:pPr>
      <w:r w:rsidRPr="00E24FB4">
        <w:rPr>
          <w:sz w:val="20"/>
          <w:szCs w:val="20"/>
        </w:rPr>
        <w:t>Important to note, that despite the above,</w:t>
      </w:r>
    </w:p>
    <w:p w14:paraId="3CEA0F39" w14:textId="188D114A" w:rsidR="000B6AC2" w:rsidRPr="00E24FB4" w:rsidRDefault="00E511ED" w:rsidP="00436A87">
      <w:pPr>
        <w:pStyle w:val="ListParagraph"/>
        <w:numPr>
          <w:ilvl w:val="0"/>
          <w:numId w:val="17"/>
        </w:numPr>
        <w:jc w:val="both"/>
        <w:rPr>
          <w:sz w:val="20"/>
          <w:szCs w:val="20"/>
        </w:rPr>
      </w:pPr>
      <w:r w:rsidRPr="00E24FB4">
        <w:rPr>
          <w:sz w:val="20"/>
          <w:szCs w:val="20"/>
        </w:rPr>
        <w:t xml:space="preserve">BRL </w:t>
      </w:r>
      <w:r w:rsidR="000B6AC2" w:rsidRPr="00E24FB4">
        <w:rPr>
          <w:sz w:val="20"/>
          <w:szCs w:val="20"/>
          <w:shd w:val="clear" w:color="auto" w:fill="FFFFFF"/>
        </w:rPr>
        <w:t>has </w:t>
      </w:r>
      <w:r w:rsidR="000B6AC2" w:rsidRPr="00E24FB4">
        <w:rPr>
          <w:rStyle w:val="Strong"/>
          <w:b w:val="0"/>
          <w:bCs w:val="0"/>
          <w:sz w:val="20"/>
          <w:szCs w:val="20"/>
          <w:shd w:val="clear" w:color="auto" w:fill="FFFFFF"/>
        </w:rPr>
        <w:t>never diluted a single share in its history post IPO</w:t>
      </w:r>
      <w:r w:rsidR="000B6AC2" w:rsidRPr="00E24FB4">
        <w:rPr>
          <w:sz w:val="20"/>
          <w:szCs w:val="20"/>
          <w:shd w:val="clear" w:color="auto" w:fill="FFFFFF"/>
        </w:rPr>
        <w:t> </w:t>
      </w:r>
    </w:p>
    <w:p w14:paraId="669D0467" w14:textId="420224B4" w:rsidR="000B6AC2" w:rsidRPr="00E24FB4" w:rsidRDefault="000B6AC2" w:rsidP="00436A87">
      <w:pPr>
        <w:pStyle w:val="ListParagraph"/>
        <w:numPr>
          <w:ilvl w:val="0"/>
          <w:numId w:val="17"/>
        </w:numPr>
        <w:jc w:val="both"/>
        <w:rPr>
          <w:sz w:val="20"/>
          <w:szCs w:val="20"/>
        </w:rPr>
      </w:pPr>
      <w:r w:rsidRPr="00E24FB4">
        <w:rPr>
          <w:sz w:val="20"/>
          <w:szCs w:val="20"/>
        </w:rPr>
        <w:t xml:space="preserve">Debt remains at comfortable levels with Net debt to </w:t>
      </w:r>
      <w:proofErr w:type="spellStart"/>
      <w:r w:rsidR="00A37281">
        <w:rPr>
          <w:sz w:val="20"/>
          <w:szCs w:val="20"/>
        </w:rPr>
        <w:t>E</w:t>
      </w:r>
      <w:r w:rsidRPr="00E24FB4">
        <w:rPr>
          <w:sz w:val="20"/>
          <w:szCs w:val="20"/>
        </w:rPr>
        <w:t>bitda</w:t>
      </w:r>
      <w:proofErr w:type="spellEnd"/>
      <w:r w:rsidRPr="00E24FB4">
        <w:rPr>
          <w:sz w:val="20"/>
          <w:szCs w:val="20"/>
        </w:rPr>
        <w:t xml:space="preserve"> at </w:t>
      </w:r>
      <w:r w:rsidR="00E511ED" w:rsidRPr="00E24FB4">
        <w:rPr>
          <w:sz w:val="20"/>
          <w:szCs w:val="20"/>
        </w:rPr>
        <w:t xml:space="preserve">1.3x </w:t>
      </w:r>
      <w:r w:rsidRPr="00E24FB4">
        <w:rPr>
          <w:sz w:val="20"/>
          <w:szCs w:val="20"/>
        </w:rPr>
        <w:t xml:space="preserve">and debt to equity at </w:t>
      </w:r>
      <w:r w:rsidR="00E511ED" w:rsidRPr="00E24FB4">
        <w:rPr>
          <w:sz w:val="20"/>
          <w:szCs w:val="20"/>
        </w:rPr>
        <w:t>0.6x as of FY 19.</w:t>
      </w:r>
    </w:p>
    <w:p w14:paraId="0A4B8EC2" w14:textId="77777777" w:rsidR="00CD4D43" w:rsidRPr="00E24FB4" w:rsidRDefault="00CD4D43" w:rsidP="00CD4D43">
      <w:pPr>
        <w:pStyle w:val="ListParagraph"/>
        <w:ind w:left="1440"/>
        <w:rPr>
          <w:sz w:val="20"/>
          <w:szCs w:val="20"/>
        </w:rPr>
      </w:pPr>
    </w:p>
    <w:p w14:paraId="0FB05BC3" w14:textId="688640D5" w:rsidR="003D1A08" w:rsidRPr="00E24FB4" w:rsidRDefault="003D1A08" w:rsidP="00436A87">
      <w:pPr>
        <w:pStyle w:val="ListParagraph"/>
        <w:numPr>
          <w:ilvl w:val="0"/>
          <w:numId w:val="1"/>
        </w:numPr>
        <w:rPr>
          <w:b/>
          <w:bCs/>
          <w:sz w:val="20"/>
          <w:szCs w:val="20"/>
        </w:rPr>
      </w:pPr>
      <w:r w:rsidRPr="00E24FB4">
        <w:rPr>
          <w:b/>
          <w:bCs/>
          <w:sz w:val="20"/>
          <w:szCs w:val="20"/>
        </w:rPr>
        <w:lastRenderedPageBreak/>
        <w:t xml:space="preserve">Key growth </w:t>
      </w:r>
      <w:r w:rsidR="005063C1" w:rsidRPr="00E24FB4">
        <w:rPr>
          <w:b/>
          <w:bCs/>
          <w:sz w:val="20"/>
          <w:szCs w:val="20"/>
        </w:rPr>
        <w:t xml:space="preserve">and profitability </w:t>
      </w:r>
      <w:r w:rsidRPr="00E24FB4">
        <w:rPr>
          <w:b/>
          <w:bCs/>
          <w:sz w:val="20"/>
          <w:szCs w:val="20"/>
        </w:rPr>
        <w:t xml:space="preserve">drivers </w:t>
      </w:r>
    </w:p>
    <w:p w14:paraId="7C3B2B21" w14:textId="4FF76C40" w:rsidR="006D0E44" w:rsidRPr="00E24FB4" w:rsidRDefault="006D0E44" w:rsidP="00436A87">
      <w:pPr>
        <w:pStyle w:val="ListParagraph"/>
        <w:numPr>
          <w:ilvl w:val="1"/>
          <w:numId w:val="1"/>
        </w:numPr>
        <w:rPr>
          <w:sz w:val="20"/>
          <w:szCs w:val="20"/>
        </w:rPr>
      </w:pPr>
      <w:r w:rsidRPr="00E24FB4">
        <w:rPr>
          <w:sz w:val="20"/>
          <w:szCs w:val="20"/>
        </w:rPr>
        <w:t>Sales</w:t>
      </w:r>
    </w:p>
    <w:p w14:paraId="7951382E" w14:textId="6BC4332A" w:rsidR="00700609" w:rsidRPr="00E24FB4" w:rsidRDefault="00700609" w:rsidP="00436A87">
      <w:pPr>
        <w:pStyle w:val="ListParagraph"/>
        <w:numPr>
          <w:ilvl w:val="2"/>
          <w:numId w:val="1"/>
        </w:numPr>
        <w:rPr>
          <w:sz w:val="20"/>
          <w:szCs w:val="20"/>
        </w:rPr>
      </w:pPr>
      <w:r w:rsidRPr="00E24FB4">
        <w:rPr>
          <w:sz w:val="20"/>
          <w:szCs w:val="20"/>
        </w:rPr>
        <w:t xml:space="preserve">Capacity expansion in </w:t>
      </w:r>
      <w:proofErr w:type="spellStart"/>
      <w:r w:rsidRPr="00E24FB4">
        <w:rPr>
          <w:sz w:val="20"/>
          <w:szCs w:val="20"/>
        </w:rPr>
        <w:t>Dahej</w:t>
      </w:r>
      <w:proofErr w:type="spellEnd"/>
      <w:r w:rsidRPr="00E24FB4">
        <w:rPr>
          <w:sz w:val="20"/>
          <w:szCs w:val="20"/>
        </w:rPr>
        <w:t xml:space="preserve">, </w:t>
      </w:r>
      <w:proofErr w:type="spellStart"/>
      <w:r w:rsidRPr="00E24FB4">
        <w:rPr>
          <w:sz w:val="20"/>
          <w:szCs w:val="20"/>
        </w:rPr>
        <w:t>Saykha</w:t>
      </w:r>
      <w:proofErr w:type="spellEnd"/>
      <w:r w:rsidR="00D20E9F">
        <w:rPr>
          <w:sz w:val="20"/>
          <w:szCs w:val="20"/>
        </w:rPr>
        <w:t>/</w:t>
      </w:r>
      <w:r w:rsidRPr="00E24FB4">
        <w:rPr>
          <w:sz w:val="20"/>
          <w:szCs w:val="20"/>
        </w:rPr>
        <w:t>Nissan JV (as elaborated earlier) will be the growth drivers over the next 2-3 years</w:t>
      </w:r>
      <w:r w:rsidR="00CF7C66" w:rsidRPr="00E24FB4">
        <w:rPr>
          <w:sz w:val="20"/>
          <w:szCs w:val="20"/>
        </w:rPr>
        <w:t xml:space="preserve"> - Medium</w:t>
      </w:r>
    </w:p>
    <w:p w14:paraId="5F3D3ACF" w14:textId="506C8926" w:rsidR="00700609" w:rsidRPr="00E24FB4" w:rsidRDefault="00700609" w:rsidP="00436A87">
      <w:pPr>
        <w:pStyle w:val="ListParagraph"/>
        <w:numPr>
          <w:ilvl w:val="2"/>
          <w:numId w:val="1"/>
        </w:numPr>
        <w:rPr>
          <w:sz w:val="20"/>
          <w:szCs w:val="20"/>
        </w:rPr>
      </w:pPr>
      <w:r w:rsidRPr="00E24FB4">
        <w:rPr>
          <w:sz w:val="20"/>
          <w:szCs w:val="20"/>
        </w:rPr>
        <w:t>Additional CRAMs contracts similar to Nissan (as a diversification from China) would be a key addition to future growth</w:t>
      </w:r>
      <w:r w:rsidR="00903736" w:rsidRPr="00E24FB4">
        <w:rPr>
          <w:sz w:val="20"/>
          <w:szCs w:val="20"/>
        </w:rPr>
        <w:t>- High</w:t>
      </w:r>
    </w:p>
    <w:p w14:paraId="5585E64F" w14:textId="06AC1089" w:rsidR="00700609" w:rsidRPr="00E24FB4" w:rsidRDefault="006D0E44" w:rsidP="00436A87">
      <w:pPr>
        <w:pStyle w:val="ListParagraph"/>
        <w:numPr>
          <w:ilvl w:val="1"/>
          <w:numId w:val="1"/>
        </w:numPr>
        <w:rPr>
          <w:sz w:val="20"/>
          <w:szCs w:val="20"/>
        </w:rPr>
      </w:pPr>
      <w:r w:rsidRPr="00E24FB4">
        <w:rPr>
          <w:sz w:val="20"/>
          <w:szCs w:val="20"/>
        </w:rPr>
        <w:t>Profitability margins driven by c</w:t>
      </w:r>
      <w:r w:rsidR="00700609" w:rsidRPr="00E24FB4">
        <w:rPr>
          <w:sz w:val="20"/>
          <w:szCs w:val="20"/>
        </w:rPr>
        <w:t>hange</w:t>
      </w:r>
      <w:r w:rsidRPr="00E24FB4">
        <w:rPr>
          <w:sz w:val="20"/>
          <w:szCs w:val="20"/>
        </w:rPr>
        <w:t>s</w:t>
      </w:r>
      <w:r w:rsidR="00700609" w:rsidRPr="00E24FB4">
        <w:rPr>
          <w:sz w:val="20"/>
          <w:szCs w:val="20"/>
        </w:rPr>
        <w:t xml:space="preserve"> in product mix </w:t>
      </w:r>
      <w:r w:rsidR="005063C1" w:rsidRPr="00E24FB4">
        <w:rPr>
          <w:sz w:val="20"/>
          <w:szCs w:val="20"/>
        </w:rPr>
        <w:t>–</w:t>
      </w:r>
      <w:r w:rsidR="00A4333F" w:rsidRPr="00E24FB4">
        <w:rPr>
          <w:sz w:val="20"/>
          <w:szCs w:val="20"/>
        </w:rPr>
        <w:t xml:space="preserve"> </w:t>
      </w:r>
      <w:r w:rsidR="00357BD2" w:rsidRPr="00E24FB4">
        <w:rPr>
          <w:sz w:val="20"/>
          <w:szCs w:val="20"/>
        </w:rPr>
        <w:t>Medium</w:t>
      </w:r>
      <w:r w:rsidR="005063C1" w:rsidRPr="00E24FB4">
        <w:rPr>
          <w:sz w:val="20"/>
          <w:szCs w:val="20"/>
        </w:rPr>
        <w:t xml:space="preserve"> – Following should help to improve gross margins</w:t>
      </w:r>
      <w:r w:rsidR="00700609" w:rsidRPr="00E24FB4">
        <w:rPr>
          <w:sz w:val="20"/>
          <w:szCs w:val="20"/>
        </w:rPr>
        <w:t>:</w:t>
      </w:r>
    </w:p>
    <w:p w14:paraId="7DDADE16" w14:textId="5AF1FC57" w:rsidR="00767BB8" w:rsidRPr="00E24FB4" w:rsidRDefault="00E24FB4" w:rsidP="00436A87">
      <w:pPr>
        <w:pStyle w:val="ListParagraph"/>
        <w:numPr>
          <w:ilvl w:val="2"/>
          <w:numId w:val="1"/>
        </w:numPr>
        <w:rPr>
          <w:sz w:val="20"/>
          <w:szCs w:val="20"/>
        </w:rPr>
      </w:pPr>
      <w:r>
        <w:rPr>
          <w:sz w:val="20"/>
          <w:szCs w:val="20"/>
        </w:rPr>
        <w:t>C</w:t>
      </w:r>
      <w:r w:rsidR="00767BB8" w:rsidRPr="00E24FB4">
        <w:rPr>
          <w:sz w:val="20"/>
          <w:szCs w:val="20"/>
        </w:rPr>
        <w:t>ompletion of the backward integration project</w:t>
      </w:r>
      <w:r>
        <w:rPr>
          <w:sz w:val="20"/>
          <w:szCs w:val="20"/>
        </w:rPr>
        <w:t xml:space="preserve"> should aid reduction in </w:t>
      </w:r>
      <w:r w:rsidR="00767BB8" w:rsidRPr="00E24FB4">
        <w:rPr>
          <w:sz w:val="20"/>
          <w:szCs w:val="20"/>
        </w:rPr>
        <w:t>dependence on China</w:t>
      </w:r>
      <w:r>
        <w:rPr>
          <w:sz w:val="20"/>
          <w:szCs w:val="20"/>
        </w:rPr>
        <w:t xml:space="preserve"> from 50% to 30%</w:t>
      </w:r>
      <w:r w:rsidR="00767BB8" w:rsidRPr="00E24FB4">
        <w:rPr>
          <w:sz w:val="20"/>
          <w:szCs w:val="20"/>
        </w:rPr>
        <w:t>.</w:t>
      </w:r>
    </w:p>
    <w:p w14:paraId="0379E75D" w14:textId="77777777" w:rsidR="00E70754" w:rsidRPr="00E24FB4" w:rsidRDefault="00700609" w:rsidP="00436A87">
      <w:pPr>
        <w:pStyle w:val="ListParagraph"/>
        <w:numPr>
          <w:ilvl w:val="2"/>
          <w:numId w:val="1"/>
        </w:numPr>
        <w:rPr>
          <w:sz w:val="20"/>
          <w:szCs w:val="20"/>
        </w:rPr>
      </w:pPr>
      <w:r w:rsidRPr="00E24FB4">
        <w:rPr>
          <w:sz w:val="20"/>
          <w:szCs w:val="20"/>
        </w:rPr>
        <w:t xml:space="preserve">Movement from lower to higher margin molecules </w:t>
      </w:r>
    </w:p>
    <w:p w14:paraId="5924356E" w14:textId="50672B3E" w:rsidR="00700609" w:rsidRPr="00E24FB4" w:rsidRDefault="00E70754" w:rsidP="00436A87">
      <w:pPr>
        <w:pStyle w:val="ListParagraph"/>
        <w:numPr>
          <w:ilvl w:val="2"/>
          <w:numId w:val="1"/>
        </w:numPr>
        <w:rPr>
          <w:sz w:val="20"/>
          <w:szCs w:val="20"/>
        </w:rPr>
      </w:pPr>
      <w:r w:rsidRPr="00E24FB4">
        <w:rPr>
          <w:sz w:val="20"/>
          <w:szCs w:val="20"/>
        </w:rPr>
        <w:t xml:space="preserve">Expansion into </w:t>
      </w:r>
      <w:r w:rsidR="00700609" w:rsidRPr="00E24FB4">
        <w:rPr>
          <w:sz w:val="20"/>
          <w:szCs w:val="20"/>
        </w:rPr>
        <w:t>patented CRAMs in the longer run.</w:t>
      </w:r>
    </w:p>
    <w:p w14:paraId="20F2BBF2" w14:textId="007D19BE" w:rsidR="006D0E44" w:rsidRPr="00E24FB4" w:rsidRDefault="00AF750C" w:rsidP="00436A87">
      <w:pPr>
        <w:pStyle w:val="ListParagraph"/>
        <w:numPr>
          <w:ilvl w:val="1"/>
          <w:numId w:val="1"/>
        </w:numPr>
        <w:rPr>
          <w:sz w:val="20"/>
          <w:szCs w:val="20"/>
        </w:rPr>
      </w:pPr>
      <w:r w:rsidRPr="00E24FB4">
        <w:rPr>
          <w:sz w:val="20"/>
          <w:szCs w:val="20"/>
        </w:rPr>
        <w:t>Capital intensity</w:t>
      </w:r>
    </w:p>
    <w:p w14:paraId="5A5131B0" w14:textId="4FADF46C" w:rsidR="00AF750C" w:rsidRPr="00E24FB4" w:rsidRDefault="00AF750C" w:rsidP="00436A87">
      <w:pPr>
        <w:pStyle w:val="ListParagraph"/>
        <w:numPr>
          <w:ilvl w:val="2"/>
          <w:numId w:val="1"/>
        </w:numPr>
        <w:rPr>
          <w:sz w:val="20"/>
          <w:szCs w:val="20"/>
        </w:rPr>
      </w:pPr>
      <w:r w:rsidRPr="00E24FB4">
        <w:rPr>
          <w:sz w:val="20"/>
          <w:szCs w:val="20"/>
        </w:rPr>
        <w:t>Continue to be working capital intensive due to high receivable days and low payable days as elaborated earlier.</w:t>
      </w:r>
      <w:r w:rsidR="00E24FB4">
        <w:rPr>
          <w:sz w:val="20"/>
          <w:szCs w:val="20"/>
        </w:rPr>
        <w:t xml:space="preserve"> This actually works to BRL’s advantage as they have the requisite Balance sheet flexibility.</w:t>
      </w:r>
    </w:p>
    <w:p w14:paraId="0BBC4C46" w14:textId="77777777" w:rsidR="00CD4D43" w:rsidRPr="00E24FB4" w:rsidRDefault="00CD4D43" w:rsidP="00436A87">
      <w:pPr>
        <w:pStyle w:val="ListParagraph"/>
        <w:numPr>
          <w:ilvl w:val="0"/>
          <w:numId w:val="1"/>
        </w:numPr>
        <w:rPr>
          <w:sz w:val="20"/>
          <w:szCs w:val="20"/>
        </w:rPr>
      </w:pPr>
      <w:r w:rsidRPr="00E24FB4">
        <w:rPr>
          <w:b/>
          <w:bCs/>
          <w:sz w:val="20"/>
          <w:szCs w:val="20"/>
        </w:rPr>
        <w:t>Intellectual Property – Low</w:t>
      </w:r>
    </w:p>
    <w:p w14:paraId="2613D8ED" w14:textId="77777777" w:rsidR="005063C1" w:rsidRPr="00E24FB4" w:rsidRDefault="005063C1" w:rsidP="00CD4D43">
      <w:pPr>
        <w:pStyle w:val="ListParagraph"/>
        <w:ind w:left="1440"/>
        <w:rPr>
          <w:sz w:val="20"/>
          <w:szCs w:val="20"/>
        </w:rPr>
      </w:pPr>
      <w:r w:rsidRPr="00E24FB4">
        <w:rPr>
          <w:sz w:val="20"/>
          <w:szCs w:val="20"/>
        </w:rPr>
        <w:t>Seems low on account of the low R&amp;D expenses of the Company</w:t>
      </w:r>
    </w:p>
    <w:p w14:paraId="556A3287" w14:textId="2146461F" w:rsidR="00CD4D43" w:rsidRPr="00E24FB4" w:rsidRDefault="00CD4D43" w:rsidP="00CD4D43">
      <w:pPr>
        <w:pStyle w:val="ListParagraph"/>
        <w:rPr>
          <w:sz w:val="20"/>
          <w:szCs w:val="20"/>
        </w:rPr>
      </w:pPr>
    </w:p>
    <w:p w14:paraId="20D08B31" w14:textId="77777777" w:rsidR="003A14D6" w:rsidRPr="00E24FB4" w:rsidRDefault="00013F6B" w:rsidP="00013F6B">
      <w:pPr>
        <w:rPr>
          <w:b/>
          <w:bCs/>
          <w:sz w:val="20"/>
          <w:szCs w:val="20"/>
        </w:rPr>
      </w:pPr>
      <w:r w:rsidRPr="00E24FB4">
        <w:rPr>
          <w:b/>
          <w:bCs/>
          <w:sz w:val="20"/>
          <w:szCs w:val="20"/>
        </w:rPr>
        <w:t>Operating Leverage led by</w:t>
      </w:r>
    </w:p>
    <w:p w14:paraId="3F5B5297" w14:textId="4097F64C" w:rsidR="00013F6B" w:rsidRPr="00E24FB4" w:rsidRDefault="00013F6B" w:rsidP="00013F6B">
      <w:pPr>
        <w:rPr>
          <w:b/>
          <w:bCs/>
          <w:sz w:val="20"/>
          <w:szCs w:val="20"/>
        </w:rPr>
      </w:pPr>
      <w:r w:rsidRPr="00E24FB4">
        <w:rPr>
          <w:b/>
          <w:bCs/>
          <w:sz w:val="20"/>
          <w:szCs w:val="20"/>
        </w:rPr>
        <w:t xml:space="preserve"> </w:t>
      </w:r>
      <w:r w:rsidRPr="00E24FB4">
        <w:rPr>
          <w:sz w:val="20"/>
          <w:szCs w:val="20"/>
        </w:rPr>
        <w:sym w:font="Wingdings" w:char="F0FE"/>
      </w:r>
      <w:r w:rsidRPr="00E24FB4">
        <w:rPr>
          <w:sz w:val="20"/>
          <w:szCs w:val="20"/>
        </w:rPr>
        <w:t xml:space="preserve"> </w:t>
      </w:r>
      <w:r w:rsidRPr="00E24FB4">
        <w:rPr>
          <w:b/>
          <w:bCs/>
          <w:sz w:val="20"/>
          <w:szCs w:val="20"/>
        </w:rPr>
        <w:t xml:space="preserve">Gross Margin </w:t>
      </w:r>
      <w:r w:rsidRPr="00E24FB4">
        <w:rPr>
          <w:sz w:val="20"/>
          <w:szCs w:val="20"/>
        </w:rPr>
        <w:sym w:font="Wingdings" w:char="F06F"/>
      </w:r>
      <w:r w:rsidRPr="00E24FB4">
        <w:rPr>
          <w:b/>
          <w:bCs/>
          <w:sz w:val="20"/>
          <w:szCs w:val="20"/>
        </w:rPr>
        <w:t xml:space="preserve"> Asset Turns </w:t>
      </w:r>
      <w:r w:rsidRPr="00E24FB4">
        <w:rPr>
          <w:sz w:val="20"/>
          <w:szCs w:val="20"/>
        </w:rPr>
        <w:sym w:font="Wingdings" w:char="F0FE"/>
      </w:r>
      <w:r w:rsidRPr="00E24FB4">
        <w:rPr>
          <w:b/>
          <w:bCs/>
          <w:sz w:val="20"/>
          <w:szCs w:val="20"/>
        </w:rPr>
        <w:t xml:space="preserve"> Product Mix </w:t>
      </w:r>
      <w:r w:rsidRPr="00E24FB4">
        <w:rPr>
          <w:sz w:val="20"/>
          <w:szCs w:val="20"/>
        </w:rPr>
        <w:sym w:font="Wingdings" w:char="F06F"/>
      </w:r>
      <w:r w:rsidRPr="00E24FB4">
        <w:rPr>
          <w:b/>
          <w:bCs/>
          <w:sz w:val="20"/>
          <w:szCs w:val="20"/>
        </w:rPr>
        <w:t xml:space="preserve"> Employee Costs</w:t>
      </w:r>
      <w:r w:rsidR="003A14D6" w:rsidRPr="00E24FB4">
        <w:rPr>
          <w:b/>
          <w:bCs/>
          <w:sz w:val="20"/>
          <w:szCs w:val="20"/>
        </w:rPr>
        <w:t xml:space="preserve"> </w:t>
      </w:r>
      <w:r w:rsidR="003A14D6" w:rsidRPr="00E24FB4">
        <w:rPr>
          <w:sz w:val="20"/>
          <w:szCs w:val="20"/>
        </w:rPr>
        <w:sym w:font="Wingdings" w:char="F06F"/>
      </w:r>
      <w:r w:rsidR="003A14D6" w:rsidRPr="00E24FB4">
        <w:rPr>
          <w:b/>
          <w:bCs/>
          <w:sz w:val="20"/>
          <w:szCs w:val="20"/>
        </w:rPr>
        <w:t xml:space="preserve"> Technology </w:t>
      </w:r>
      <w:r w:rsidR="003A14D6" w:rsidRPr="00E24FB4">
        <w:rPr>
          <w:sz w:val="20"/>
          <w:szCs w:val="20"/>
        </w:rPr>
        <w:sym w:font="Wingdings" w:char="F0FE"/>
      </w:r>
      <w:r w:rsidR="003A14D6" w:rsidRPr="00E24FB4">
        <w:rPr>
          <w:b/>
          <w:bCs/>
          <w:sz w:val="20"/>
          <w:szCs w:val="20"/>
        </w:rPr>
        <w:t xml:space="preserve"> Backward integration</w:t>
      </w:r>
    </w:p>
    <w:p w14:paraId="4814D816" w14:textId="036E0358" w:rsidR="00F92860" w:rsidRPr="00E24FB4" w:rsidRDefault="00C50D1C" w:rsidP="000000DC">
      <w:pPr>
        <w:rPr>
          <w:b/>
          <w:bCs/>
          <w:sz w:val="20"/>
          <w:szCs w:val="20"/>
        </w:rPr>
      </w:pPr>
      <w:r w:rsidRPr="00E24FB4">
        <w:rPr>
          <w:sz w:val="20"/>
          <w:szCs w:val="20"/>
        </w:rPr>
        <w:t>Gross margins have been largely stable in the past 10 years in the range of 28-35%. EBITDA margins have increased over the years driven by higher plant utilization / operating leverage.</w:t>
      </w:r>
      <w:r w:rsidR="00E24FB4">
        <w:rPr>
          <w:sz w:val="20"/>
          <w:szCs w:val="20"/>
        </w:rPr>
        <w:t xml:space="preserve"> Benefit of operating leverage in existing business is limited (OP = 0.68).</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611"/>
        <w:gridCol w:w="611"/>
        <w:gridCol w:w="611"/>
        <w:gridCol w:w="612"/>
        <w:gridCol w:w="611"/>
        <w:gridCol w:w="611"/>
        <w:gridCol w:w="612"/>
        <w:gridCol w:w="611"/>
        <w:gridCol w:w="611"/>
        <w:gridCol w:w="612"/>
        <w:gridCol w:w="611"/>
        <w:gridCol w:w="611"/>
        <w:gridCol w:w="831"/>
      </w:tblGrid>
      <w:tr w:rsidR="00E24FB4" w:rsidRPr="00E24FB4" w14:paraId="716BBA23" w14:textId="77777777" w:rsidTr="00AD39E1">
        <w:trPr>
          <w:trHeight w:val="248"/>
        </w:trPr>
        <w:tc>
          <w:tcPr>
            <w:tcW w:w="1615" w:type="dxa"/>
            <w:shd w:val="clear" w:color="auto" w:fill="auto"/>
            <w:noWrap/>
            <w:vAlign w:val="bottom"/>
            <w:hideMark/>
          </w:tcPr>
          <w:p w14:paraId="0FE6959C" w14:textId="77777777" w:rsidR="00F92860" w:rsidRPr="00E24FB4" w:rsidRDefault="00F92860" w:rsidP="00F92860">
            <w:pPr>
              <w:rPr>
                <w:sz w:val="18"/>
                <w:szCs w:val="18"/>
                <w:lang w:eastAsia="en-IN"/>
              </w:rPr>
            </w:pPr>
            <w:r w:rsidRPr="00E24FB4">
              <w:rPr>
                <w:sz w:val="18"/>
                <w:szCs w:val="18"/>
                <w:lang w:eastAsia="en-IN"/>
              </w:rPr>
              <w:t> </w:t>
            </w:r>
          </w:p>
        </w:tc>
        <w:tc>
          <w:tcPr>
            <w:tcW w:w="611" w:type="dxa"/>
            <w:shd w:val="clear" w:color="auto" w:fill="auto"/>
            <w:vAlign w:val="center"/>
            <w:hideMark/>
          </w:tcPr>
          <w:p w14:paraId="1C064868" w14:textId="4BD86BDA" w:rsidR="00F92860" w:rsidRPr="00E24FB4" w:rsidRDefault="00F92860" w:rsidP="00F92860">
            <w:pPr>
              <w:rPr>
                <w:b/>
                <w:bCs/>
                <w:sz w:val="16"/>
                <w:szCs w:val="16"/>
                <w:lang w:eastAsia="en-IN"/>
              </w:rPr>
            </w:pPr>
            <w:r w:rsidRPr="00E24FB4">
              <w:rPr>
                <w:b/>
                <w:bCs/>
                <w:sz w:val="16"/>
                <w:szCs w:val="16"/>
                <w:lang w:eastAsia="en-IN"/>
              </w:rPr>
              <w:t>FY08</w:t>
            </w:r>
          </w:p>
        </w:tc>
        <w:tc>
          <w:tcPr>
            <w:tcW w:w="611" w:type="dxa"/>
            <w:shd w:val="clear" w:color="auto" w:fill="auto"/>
            <w:vAlign w:val="center"/>
            <w:hideMark/>
          </w:tcPr>
          <w:p w14:paraId="3814833E" w14:textId="48AE7831" w:rsidR="00F92860" w:rsidRPr="00E24FB4" w:rsidRDefault="00F92860" w:rsidP="00F92860">
            <w:pPr>
              <w:rPr>
                <w:b/>
                <w:bCs/>
                <w:sz w:val="16"/>
                <w:szCs w:val="16"/>
                <w:lang w:eastAsia="en-IN"/>
              </w:rPr>
            </w:pPr>
            <w:r w:rsidRPr="00E24FB4">
              <w:rPr>
                <w:b/>
                <w:bCs/>
                <w:sz w:val="16"/>
                <w:szCs w:val="16"/>
                <w:lang w:eastAsia="en-IN"/>
              </w:rPr>
              <w:t>FY09</w:t>
            </w:r>
          </w:p>
        </w:tc>
        <w:tc>
          <w:tcPr>
            <w:tcW w:w="611" w:type="dxa"/>
            <w:shd w:val="clear" w:color="auto" w:fill="auto"/>
            <w:vAlign w:val="center"/>
            <w:hideMark/>
          </w:tcPr>
          <w:p w14:paraId="05FBA39D" w14:textId="6845BC27" w:rsidR="00F92860" w:rsidRPr="00E24FB4" w:rsidRDefault="00F92860" w:rsidP="00F92860">
            <w:pPr>
              <w:rPr>
                <w:b/>
                <w:bCs/>
                <w:sz w:val="16"/>
                <w:szCs w:val="16"/>
                <w:lang w:eastAsia="en-IN"/>
              </w:rPr>
            </w:pPr>
            <w:r w:rsidRPr="00E24FB4">
              <w:rPr>
                <w:b/>
                <w:bCs/>
                <w:sz w:val="16"/>
                <w:szCs w:val="16"/>
                <w:lang w:eastAsia="en-IN"/>
              </w:rPr>
              <w:t>FY10</w:t>
            </w:r>
          </w:p>
        </w:tc>
        <w:tc>
          <w:tcPr>
            <w:tcW w:w="612" w:type="dxa"/>
            <w:shd w:val="clear" w:color="auto" w:fill="auto"/>
            <w:vAlign w:val="center"/>
            <w:hideMark/>
          </w:tcPr>
          <w:p w14:paraId="21C07975" w14:textId="56500187" w:rsidR="00F92860" w:rsidRPr="00E24FB4" w:rsidRDefault="00F92860" w:rsidP="00F92860">
            <w:pPr>
              <w:rPr>
                <w:b/>
                <w:bCs/>
                <w:sz w:val="16"/>
                <w:szCs w:val="16"/>
                <w:lang w:eastAsia="en-IN"/>
              </w:rPr>
            </w:pPr>
            <w:r w:rsidRPr="00E24FB4">
              <w:rPr>
                <w:b/>
                <w:bCs/>
                <w:sz w:val="16"/>
                <w:szCs w:val="16"/>
                <w:lang w:eastAsia="en-IN"/>
              </w:rPr>
              <w:t>FY11</w:t>
            </w:r>
          </w:p>
        </w:tc>
        <w:tc>
          <w:tcPr>
            <w:tcW w:w="611" w:type="dxa"/>
            <w:shd w:val="clear" w:color="auto" w:fill="auto"/>
            <w:vAlign w:val="center"/>
            <w:hideMark/>
          </w:tcPr>
          <w:p w14:paraId="7000328D" w14:textId="56577E52" w:rsidR="00F92860" w:rsidRPr="00E24FB4" w:rsidRDefault="00F92860" w:rsidP="00F92860">
            <w:pPr>
              <w:rPr>
                <w:b/>
                <w:bCs/>
                <w:sz w:val="16"/>
                <w:szCs w:val="16"/>
                <w:lang w:eastAsia="en-IN"/>
              </w:rPr>
            </w:pPr>
            <w:r w:rsidRPr="00E24FB4">
              <w:rPr>
                <w:b/>
                <w:bCs/>
                <w:sz w:val="16"/>
                <w:szCs w:val="16"/>
                <w:lang w:eastAsia="en-IN"/>
              </w:rPr>
              <w:t>FY12</w:t>
            </w:r>
          </w:p>
        </w:tc>
        <w:tc>
          <w:tcPr>
            <w:tcW w:w="611" w:type="dxa"/>
            <w:shd w:val="clear" w:color="auto" w:fill="auto"/>
            <w:vAlign w:val="center"/>
            <w:hideMark/>
          </w:tcPr>
          <w:p w14:paraId="52A03C24" w14:textId="7595E74D" w:rsidR="00F92860" w:rsidRPr="00E24FB4" w:rsidRDefault="00F92860" w:rsidP="00F92860">
            <w:pPr>
              <w:rPr>
                <w:b/>
                <w:bCs/>
                <w:sz w:val="16"/>
                <w:szCs w:val="16"/>
                <w:lang w:eastAsia="en-IN"/>
              </w:rPr>
            </w:pPr>
            <w:r w:rsidRPr="00E24FB4">
              <w:rPr>
                <w:b/>
                <w:bCs/>
                <w:sz w:val="16"/>
                <w:szCs w:val="16"/>
                <w:lang w:eastAsia="en-IN"/>
              </w:rPr>
              <w:t>FY13</w:t>
            </w:r>
          </w:p>
        </w:tc>
        <w:tc>
          <w:tcPr>
            <w:tcW w:w="612" w:type="dxa"/>
            <w:shd w:val="clear" w:color="auto" w:fill="auto"/>
            <w:vAlign w:val="center"/>
            <w:hideMark/>
          </w:tcPr>
          <w:p w14:paraId="683000BA" w14:textId="12D77B2C" w:rsidR="00F92860" w:rsidRPr="00E24FB4" w:rsidRDefault="00F92860" w:rsidP="00F92860">
            <w:pPr>
              <w:rPr>
                <w:b/>
                <w:bCs/>
                <w:sz w:val="16"/>
                <w:szCs w:val="16"/>
                <w:lang w:eastAsia="en-IN"/>
              </w:rPr>
            </w:pPr>
            <w:r w:rsidRPr="00E24FB4">
              <w:rPr>
                <w:b/>
                <w:bCs/>
                <w:sz w:val="16"/>
                <w:szCs w:val="16"/>
                <w:lang w:eastAsia="en-IN"/>
              </w:rPr>
              <w:t>FY14</w:t>
            </w:r>
          </w:p>
        </w:tc>
        <w:tc>
          <w:tcPr>
            <w:tcW w:w="611" w:type="dxa"/>
            <w:shd w:val="clear" w:color="auto" w:fill="auto"/>
            <w:vAlign w:val="center"/>
            <w:hideMark/>
          </w:tcPr>
          <w:p w14:paraId="1498BCA2" w14:textId="6F9D06BF" w:rsidR="00F92860" w:rsidRPr="00E24FB4" w:rsidRDefault="00F92860" w:rsidP="00F92860">
            <w:pPr>
              <w:rPr>
                <w:b/>
                <w:bCs/>
                <w:sz w:val="16"/>
                <w:szCs w:val="16"/>
                <w:lang w:eastAsia="en-IN"/>
              </w:rPr>
            </w:pPr>
            <w:r w:rsidRPr="00E24FB4">
              <w:rPr>
                <w:b/>
                <w:bCs/>
                <w:sz w:val="16"/>
                <w:szCs w:val="16"/>
                <w:lang w:eastAsia="en-IN"/>
              </w:rPr>
              <w:t>FY15</w:t>
            </w:r>
          </w:p>
        </w:tc>
        <w:tc>
          <w:tcPr>
            <w:tcW w:w="611" w:type="dxa"/>
            <w:shd w:val="clear" w:color="auto" w:fill="auto"/>
            <w:vAlign w:val="center"/>
            <w:hideMark/>
          </w:tcPr>
          <w:p w14:paraId="42895D41" w14:textId="7618BD54" w:rsidR="00F92860" w:rsidRPr="00E24FB4" w:rsidRDefault="00F92860" w:rsidP="00F92860">
            <w:pPr>
              <w:rPr>
                <w:b/>
                <w:bCs/>
                <w:sz w:val="16"/>
                <w:szCs w:val="16"/>
                <w:lang w:eastAsia="en-IN"/>
              </w:rPr>
            </w:pPr>
            <w:r w:rsidRPr="00E24FB4">
              <w:rPr>
                <w:b/>
                <w:bCs/>
                <w:sz w:val="16"/>
                <w:szCs w:val="16"/>
                <w:lang w:eastAsia="en-IN"/>
              </w:rPr>
              <w:t>FY16</w:t>
            </w:r>
          </w:p>
        </w:tc>
        <w:tc>
          <w:tcPr>
            <w:tcW w:w="612" w:type="dxa"/>
            <w:shd w:val="clear" w:color="auto" w:fill="auto"/>
            <w:vAlign w:val="center"/>
            <w:hideMark/>
          </w:tcPr>
          <w:p w14:paraId="2ACB6E9E" w14:textId="2E2427BE" w:rsidR="00F92860" w:rsidRPr="00E24FB4" w:rsidRDefault="00F92860" w:rsidP="00F92860">
            <w:pPr>
              <w:rPr>
                <w:b/>
                <w:bCs/>
                <w:sz w:val="16"/>
                <w:szCs w:val="16"/>
                <w:lang w:eastAsia="en-IN"/>
              </w:rPr>
            </w:pPr>
            <w:r w:rsidRPr="00E24FB4">
              <w:rPr>
                <w:b/>
                <w:bCs/>
                <w:sz w:val="16"/>
                <w:szCs w:val="16"/>
                <w:lang w:eastAsia="en-IN"/>
              </w:rPr>
              <w:t>FY17</w:t>
            </w:r>
          </w:p>
        </w:tc>
        <w:tc>
          <w:tcPr>
            <w:tcW w:w="611" w:type="dxa"/>
            <w:shd w:val="clear" w:color="auto" w:fill="auto"/>
            <w:vAlign w:val="center"/>
            <w:hideMark/>
          </w:tcPr>
          <w:p w14:paraId="595F5B5E" w14:textId="3C1570FA" w:rsidR="00F92860" w:rsidRPr="00E24FB4" w:rsidRDefault="00F92860" w:rsidP="00F92860">
            <w:pPr>
              <w:rPr>
                <w:b/>
                <w:bCs/>
                <w:sz w:val="16"/>
                <w:szCs w:val="16"/>
                <w:lang w:eastAsia="en-IN"/>
              </w:rPr>
            </w:pPr>
            <w:r w:rsidRPr="00E24FB4">
              <w:rPr>
                <w:b/>
                <w:bCs/>
                <w:sz w:val="16"/>
                <w:szCs w:val="16"/>
                <w:lang w:eastAsia="en-IN"/>
              </w:rPr>
              <w:t>FY18</w:t>
            </w:r>
          </w:p>
        </w:tc>
        <w:tc>
          <w:tcPr>
            <w:tcW w:w="611" w:type="dxa"/>
            <w:shd w:val="clear" w:color="auto" w:fill="auto"/>
            <w:vAlign w:val="center"/>
            <w:hideMark/>
          </w:tcPr>
          <w:p w14:paraId="3A41194A" w14:textId="1D9BEF34" w:rsidR="00F92860" w:rsidRPr="00E24FB4" w:rsidRDefault="00F92860" w:rsidP="00F92860">
            <w:pPr>
              <w:rPr>
                <w:b/>
                <w:bCs/>
                <w:sz w:val="16"/>
                <w:szCs w:val="16"/>
                <w:lang w:eastAsia="en-IN"/>
              </w:rPr>
            </w:pPr>
            <w:r w:rsidRPr="00E24FB4">
              <w:rPr>
                <w:b/>
                <w:bCs/>
                <w:sz w:val="16"/>
                <w:szCs w:val="16"/>
                <w:lang w:eastAsia="en-IN"/>
              </w:rPr>
              <w:t>FY19</w:t>
            </w:r>
          </w:p>
        </w:tc>
        <w:tc>
          <w:tcPr>
            <w:tcW w:w="831" w:type="dxa"/>
            <w:shd w:val="clear" w:color="auto" w:fill="auto"/>
            <w:vAlign w:val="center"/>
            <w:hideMark/>
          </w:tcPr>
          <w:p w14:paraId="6E73F430" w14:textId="5B5C17DD" w:rsidR="00F92860" w:rsidRPr="00E24FB4" w:rsidRDefault="00F92860" w:rsidP="00F92860">
            <w:pPr>
              <w:rPr>
                <w:b/>
                <w:bCs/>
                <w:sz w:val="16"/>
                <w:szCs w:val="16"/>
                <w:lang w:eastAsia="en-IN"/>
              </w:rPr>
            </w:pPr>
            <w:r w:rsidRPr="00E24FB4">
              <w:rPr>
                <w:b/>
                <w:bCs/>
                <w:sz w:val="16"/>
                <w:szCs w:val="16"/>
                <w:lang w:eastAsia="en-IN"/>
              </w:rPr>
              <w:t>9MFY20</w:t>
            </w:r>
          </w:p>
        </w:tc>
      </w:tr>
      <w:tr w:rsidR="00E24FB4" w:rsidRPr="00E24FB4" w14:paraId="0EEEB0FB" w14:textId="77777777" w:rsidTr="00AD39E1">
        <w:trPr>
          <w:trHeight w:val="248"/>
        </w:trPr>
        <w:tc>
          <w:tcPr>
            <w:tcW w:w="1615" w:type="dxa"/>
            <w:shd w:val="clear" w:color="auto" w:fill="auto"/>
            <w:noWrap/>
            <w:vAlign w:val="bottom"/>
            <w:hideMark/>
          </w:tcPr>
          <w:p w14:paraId="58EF059F" w14:textId="77777777" w:rsidR="00F92860" w:rsidRPr="00E24FB4" w:rsidRDefault="00F92860" w:rsidP="00F92860">
            <w:pPr>
              <w:rPr>
                <w:sz w:val="18"/>
                <w:szCs w:val="18"/>
                <w:lang w:eastAsia="en-IN"/>
              </w:rPr>
            </w:pPr>
            <w:r w:rsidRPr="00E24FB4">
              <w:rPr>
                <w:sz w:val="18"/>
                <w:szCs w:val="18"/>
                <w:lang w:eastAsia="en-IN"/>
              </w:rPr>
              <w:t xml:space="preserve">Gross Margin % </w:t>
            </w:r>
          </w:p>
        </w:tc>
        <w:tc>
          <w:tcPr>
            <w:tcW w:w="611" w:type="dxa"/>
            <w:shd w:val="clear" w:color="auto" w:fill="auto"/>
            <w:noWrap/>
            <w:vAlign w:val="bottom"/>
            <w:hideMark/>
          </w:tcPr>
          <w:p w14:paraId="64B78498" w14:textId="77777777" w:rsidR="00F92860" w:rsidRPr="00E24FB4" w:rsidRDefault="00F92860" w:rsidP="00F92860">
            <w:pPr>
              <w:jc w:val="right"/>
              <w:rPr>
                <w:sz w:val="18"/>
                <w:szCs w:val="18"/>
                <w:lang w:eastAsia="en-IN"/>
              </w:rPr>
            </w:pPr>
            <w:r w:rsidRPr="00E24FB4">
              <w:rPr>
                <w:sz w:val="18"/>
                <w:szCs w:val="18"/>
                <w:lang w:eastAsia="en-IN"/>
              </w:rPr>
              <w:t>23%</w:t>
            </w:r>
          </w:p>
        </w:tc>
        <w:tc>
          <w:tcPr>
            <w:tcW w:w="611" w:type="dxa"/>
            <w:shd w:val="clear" w:color="auto" w:fill="auto"/>
            <w:noWrap/>
            <w:vAlign w:val="bottom"/>
            <w:hideMark/>
          </w:tcPr>
          <w:p w14:paraId="6F66A145" w14:textId="77777777" w:rsidR="00F92860" w:rsidRPr="00E24FB4" w:rsidRDefault="00F92860" w:rsidP="00F92860">
            <w:pPr>
              <w:jc w:val="right"/>
              <w:rPr>
                <w:sz w:val="18"/>
                <w:szCs w:val="18"/>
                <w:lang w:eastAsia="en-IN"/>
              </w:rPr>
            </w:pPr>
            <w:r w:rsidRPr="00E24FB4">
              <w:rPr>
                <w:sz w:val="18"/>
                <w:szCs w:val="18"/>
                <w:lang w:eastAsia="en-IN"/>
              </w:rPr>
              <w:t>28%</w:t>
            </w:r>
          </w:p>
        </w:tc>
        <w:tc>
          <w:tcPr>
            <w:tcW w:w="611" w:type="dxa"/>
            <w:shd w:val="clear" w:color="auto" w:fill="auto"/>
            <w:noWrap/>
            <w:vAlign w:val="bottom"/>
            <w:hideMark/>
          </w:tcPr>
          <w:p w14:paraId="4F45BD0A" w14:textId="77777777" w:rsidR="00F92860" w:rsidRPr="00E24FB4" w:rsidRDefault="00F92860" w:rsidP="00F92860">
            <w:pPr>
              <w:jc w:val="right"/>
              <w:rPr>
                <w:sz w:val="18"/>
                <w:szCs w:val="18"/>
                <w:lang w:eastAsia="en-IN"/>
              </w:rPr>
            </w:pPr>
            <w:r w:rsidRPr="00E24FB4">
              <w:rPr>
                <w:sz w:val="18"/>
                <w:szCs w:val="18"/>
                <w:lang w:eastAsia="en-IN"/>
              </w:rPr>
              <w:t>29%</w:t>
            </w:r>
          </w:p>
        </w:tc>
        <w:tc>
          <w:tcPr>
            <w:tcW w:w="612" w:type="dxa"/>
            <w:shd w:val="clear" w:color="auto" w:fill="auto"/>
            <w:noWrap/>
            <w:vAlign w:val="bottom"/>
            <w:hideMark/>
          </w:tcPr>
          <w:p w14:paraId="417214E8" w14:textId="77777777" w:rsidR="00F92860" w:rsidRPr="00E24FB4" w:rsidRDefault="00F92860" w:rsidP="00F92860">
            <w:pPr>
              <w:jc w:val="right"/>
              <w:rPr>
                <w:sz w:val="18"/>
                <w:szCs w:val="18"/>
                <w:lang w:eastAsia="en-IN"/>
              </w:rPr>
            </w:pPr>
            <w:r w:rsidRPr="00E24FB4">
              <w:rPr>
                <w:sz w:val="18"/>
                <w:szCs w:val="18"/>
                <w:lang w:eastAsia="en-IN"/>
              </w:rPr>
              <w:t>32%</w:t>
            </w:r>
          </w:p>
        </w:tc>
        <w:tc>
          <w:tcPr>
            <w:tcW w:w="611" w:type="dxa"/>
            <w:shd w:val="clear" w:color="auto" w:fill="auto"/>
            <w:noWrap/>
            <w:vAlign w:val="bottom"/>
            <w:hideMark/>
          </w:tcPr>
          <w:p w14:paraId="5098CDD0" w14:textId="77777777" w:rsidR="00F92860" w:rsidRPr="00E24FB4" w:rsidRDefault="00F92860" w:rsidP="00F92860">
            <w:pPr>
              <w:jc w:val="right"/>
              <w:rPr>
                <w:sz w:val="18"/>
                <w:szCs w:val="18"/>
                <w:lang w:eastAsia="en-IN"/>
              </w:rPr>
            </w:pPr>
            <w:r w:rsidRPr="00E24FB4">
              <w:rPr>
                <w:sz w:val="18"/>
                <w:szCs w:val="18"/>
                <w:lang w:eastAsia="en-IN"/>
              </w:rPr>
              <w:t>34%</w:t>
            </w:r>
          </w:p>
        </w:tc>
        <w:tc>
          <w:tcPr>
            <w:tcW w:w="611" w:type="dxa"/>
            <w:shd w:val="clear" w:color="auto" w:fill="auto"/>
            <w:noWrap/>
            <w:vAlign w:val="bottom"/>
            <w:hideMark/>
          </w:tcPr>
          <w:p w14:paraId="111C93FC" w14:textId="77777777" w:rsidR="00F92860" w:rsidRPr="00E24FB4" w:rsidRDefault="00F92860" w:rsidP="00F92860">
            <w:pPr>
              <w:jc w:val="right"/>
              <w:rPr>
                <w:sz w:val="18"/>
                <w:szCs w:val="18"/>
                <w:lang w:eastAsia="en-IN"/>
              </w:rPr>
            </w:pPr>
            <w:r w:rsidRPr="00E24FB4">
              <w:rPr>
                <w:sz w:val="18"/>
                <w:szCs w:val="18"/>
                <w:lang w:eastAsia="en-IN"/>
              </w:rPr>
              <w:t>32%</w:t>
            </w:r>
          </w:p>
        </w:tc>
        <w:tc>
          <w:tcPr>
            <w:tcW w:w="612" w:type="dxa"/>
            <w:shd w:val="clear" w:color="auto" w:fill="auto"/>
            <w:noWrap/>
            <w:vAlign w:val="bottom"/>
            <w:hideMark/>
          </w:tcPr>
          <w:p w14:paraId="1065E1D9" w14:textId="77777777" w:rsidR="00F92860" w:rsidRPr="00E24FB4" w:rsidRDefault="00F92860" w:rsidP="00F92860">
            <w:pPr>
              <w:jc w:val="right"/>
              <w:rPr>
                <w:sz w:val="18"/>
                <w:szCs w:val="18"/>
                <w:lang w:eastAsia="en-IN"/>
              </w:rPr>
            </w:pPr>
            <w:r w:rsidRPr="00E24FB4">
              <w:rPr>
                <w:sz w:val="18"/>
                <w:szCs w:val="18"/>
                <w:lang w:eastAsia="en-IN"/>
              </w:rPr>
              <w:t>35%</w:t>
            </w:r>
          </w:p>
        </w:tc>
        <w:tc>
          <w:tcPr>
            <w:tcW w:w="611" w:type="dxa"/>
            <w:shd w:val="clear" w:color="auto" w:fill="auto"/>
            <w:noWrap/>
            <w:vAlign w:val="bottom"/>
            <w:hideMark/>
          </w:tcPr>
          <w:p w14:paraId="2F95F742" w14:textId="77777777" w:rsidR="00F92860" w:rsidRPr="00E24FB4" w:rsidRDefault="00F92860" w:rsidP="00F92860">
            <w:pPr>
              <w:jc w:val="right"/>
              <w:rPr>
                <w:sz w:val="18"/>
                <w:szCs w:val="18"/>
                <w:lang w:eastAsia="en-IN"/>
              </w:rPr>
            </w:pPr>
            <w:r w:rsidRPr="00E24FB4">
              <w:rPr>
                <w:sz w:val="18"/>
                <w:szCs w:val="18"/>
                <w:lang w:eastAsia="en-IN"/>
              </w:rPr>
              <w:t>34%</w:t>
            </w:r>
          </w:p>
        </w:tc>
        <w:tc>
          <w:tcPr>
            <w:tcW w:w="611" w:type="dxa"/>
            <w:shd w:val="clear" w:color="auto" w:fill="auto"/>
            <w:noWrap/>
            <w:vAlign w:val="bottom"/>
            <w:hideMark/>
          </w:tcPr>
          <w:p w14:paraId="273B6603" w14:textId="77777777" w:rsidR="00F92860" w:rsidRPr="00E24FB4" w:rsidRDefault="00F92860" w:rsidP="00F92860">
            <w:pPr>
              <w:jc w:val="right"/>
              <w:rPr>
                <w:sz w:val="18"/>
                <w:szCs w:val="18"/>
                <w:lang w:eastAsia="en-IN"/>
              </w:rPr>
            </w:pPr>
            <w:r w:rsidRPr="00E24FB4">
              <w:rPr>
                <w:sz w:val="18"/>
                <w:szCs w:val="18"/>
                <w:lang w:eastAsia="en-IN"/>
              </w:rPr>
              <w:t>35%</w:t>
            </w:r>
          </w:p>
        </w:tc>
        <w:tc>
          <w:tcPr>
            <w:tcW w:w="612" w:type="dxa"/>
            <w:shd w:val="clear" w:color="auto" w:fill="auto"/>
            <w:noWrap/>
            <w:vAlign w:val="bottom"/>
            <w:hideMark/>
          </w:tcPr>
          <w:p w14:paraId="2CC53C0F" w14:textId="77777777" w:rsidR="00F92860" w:rsidRPr="00E24FB4" w:rsidRDefault="00F92860" w:rsidP="00F92860">
            <w:pPr>
              <w:jc w:val="right"/>
              <w:rPr>
                <w:sz w:val="18"/>
                <w:szCs w:val="18"/>
                <w:lang w:eastAsia="en-IN"/>
              </w:rPr>
            </w:pPr>
            <w:r w:rsidRPr="00E24FB4">
              <w:rPr>
                <w:sz w:val="18"/>
                <w:szCs w:val="18"/>
                <w:lang w:eastAsia="en-IN"/>
              </w:rPr>
              <w:t>34%</w:t>
            </w:r>
          </w:p>
        </w:tc>
        <w:tc>
          <w:tcPr>
            <w:tcW w:w="611" w:type="dxa"/>
            <w:shd w:val="clear" w:color="auto" w:fill="auto"/>
            <w:noWrap/>
            <w:vAlign w:val="bottom"/>
            <w:hideMark/>
          </w:tcPr>
          <w:p w14:paraId="259DE36B" w14:textId="77777777" w:rsidR="00F92860" w:rsidRPr="00E24FB4" w:rsidRDefault="00F92860" w:rsidP="00F92860">
            <w:pPr>
              <w:jc w:val="right"/>
              <w:rPr>
                <w:sz w:val="18"/>
                <w:szCs w:val="18"/>
                <w:lang w:eastAsia="en-IN"/>
              </w:rPr>
            </w:pPr>
            <w:r w:rsidRPr="00E24FB4">
              <w:rPr>
                <w:sz w:val="18"/>
                <w:szCs w:val="18"/>
                <w:lang w:eastAsia="en-IN"/>
              </w:rPr>
              <w:t>34%</w:t>
            </w:r>
          </w:p>
        </w:tc>
        <w:tc>
          <w:tcPr>
            <w:tcW w:w="611" w:type="dxa"/>
            <w:shd w:val="clear" w:color="auto" w:fill="auto"/>
            <w:noWrap/>
            <w:vAlign w:val="bottom"/>
            <w:hideMark/>
          </w:tcPr>
          <w:p w14:paraId="352A3CCA" w14:textId="77777777" w:rsidR="00F92860" w:rsidRPr="00E24FB4" w:rsidRDefault="00F92860" w:rsidP="00F92860">
            <w:pPr>
              <w:jc w:val="right"/>
              <w:rPr>
                <w:sz w:val="18"/>
                <w:szCs w:val="18"/>
                <w:lang w:eastAsia="en-IN"/>
              </w:rPr>
            </w:pPr>
            <w:r w:rsidRPr="00E24FB4">
              <w:rPr>
                <w:sz w:val="18"/>
                <w:szCs w:val="18"/>
                <w:lang w:eastAsia="en-IN"/>
              </w:rPr>
              <w:t>31%</w:t>
            </w:r>
          </w:p>
        </w:tc>
        <w:tc>
          <w:tcPr>
            <w:tcW w:w="831" w:type="dxa"/>
            <w:shd w:val="clear" w:color="auto" w:fill="auto"/>
            <w:noWrap/>
            <w:vAlign w:val="bottom"/>
            <w:hideMark/>
          </w:tcPr>
          <w:p w14:paraId="306ADEB6" w14:textId="77777777" w:rsidR="00F92860" w:rsidRPr="00E24FB4" w:rsidRDefault="00F92860" w:rsidP="00F92860">
            <w:pPr>
              <w:jc w:val="right"/>
              <w:rPr>
                <w:sz w:val="18"/>
                <w:szCs w:val="18"/>
                <w:lang w:eastAsia="en-IN"/>
              </w:rPr>
            </w:pPr>
            <w:r w:rsidRPr="00E24FB4">
              <w:rPr>
                <w:sz w:val="18"/>
                <w:szCs w:val="18"/>
                <w:lang w:eastAsia="en-IN"/>
              </w:rPr>
              <w:t>31%</w:t>
            </w:r>
          </w:p>
        </w:tc>
      </w:tr>
      <w:tr w:rsidR="00E24FB4" w:rsidRPr="00E24FB4" w14:paraId="377794BF" w14:textId="77777777" w:rsidTr="00AD39E1">
        <w:trPr>
          <w:trHeight w:val="248"/>
        </w:trPr>
        <w:tc>
          <w:tcPr>
            <w:tcW w:w="1615" w:type="dxa"/>
            <w:shd w:val="clear" w:color="auto" w:fill="auto"/>
            <w:noWrap/>
            <w:vAlign w:val="bottom"/>
            <w:hideMark/>
          </w:tcPr>
          <w:p w14:paraId="76083DE2" w14:textId="2176DF2A" w:rsidR="00F92860" w:rsidRPr="00E24FB4" w:rsidRDefault="00F92860" w:rsidP="00F92860">
            <w:pPr>
              <w:rPr>
                <w:sz w:val="18"/>
                <w:szCs w:val="18"/>
                <w:lang w:eastAsia="en-IN"/>
              </w:rPr>
            </w:pPr>
            <w:r w:rsidRPr="00E24FB4">
              <w:rPr>
                <w:sz w:val="18"/>
                <w:szCs w:val="18"/>
                <w:lang w:eastAsia="en-IN"/>
              </w:rPr>
              <w:t>EBITDA Margin</w:t>
            </w:r>
            <w:r w:rsidR="00CE2BAE" w:rsidRPr="00E24FB4">
              <w:rPr>
                <w:sz w:val="18"/>
                <w:szCs w:val="18"/>
                <w:lang w:eastAsia="en-IN"/>
              </w:rPr>
              <w:t>%</w:t>
            </w:r>
            <w:r w:rsidRPr="00E24FB4">
              <w:rPr>
                <w:sz w:val="18"/>
                <w:szCs w:val="18"/>
                <w:lang w:eastAsia="en-IN"/>
              </w:rPr>
              <w:t xml:space="preserve"> </w:t>
            </w:r>
          </w:p>
        </w:tc>
        <w:tc>
          <w:tcPr>
            <w:tcW w:w="611" w:type="dxa"/>
            <w:shd w:val="clear" w:color="000000" w:fill="FFFFFF"/>
            <w:vAlign w:val="center"/>
            <w:hideMark/>
          </w:tcPr>
          <w:p w14:paraId="353B09DA" w14:textId="77777777" w:rsidR="00F92860" w:rsidRPr="00E24FB4" w:rsidRDefault="00F92860" w:rsidP="00F92860">
            <w:pPr>
              <w:jc w:val="right"/>
              <w:rPr>
                <w:sz w:val="18"/>
                <w:szCs w:val="18"/>
                <w:lang w:eastAsia="en-IN"/>
              </w:rPr>
            </w:pPr>
            <w:r w:rsidRPr="00E24FB4">
              <w:rPr>
                <w:sz w:val="18"/>
                <w:szCs w:val="18"/>
                <w:lang w:eastAsia="en-IN"/>
              </w:rPr>
              <w:t>6%</w:t>
            </w:r>
          </w:p>
        </w:tc>
        <w:tc>
          <w:tcPr>
            <w:tcW w:w="611" w:type="dxa"/>
            <w:shd w:val="clear" w:color="000000" w:fill="FFFFFF"/>
            <w:vAlign w:val="center"/>
            <w:hideMark/>
          </w:tcPr>
          <w:p w14:paraId="34F5C8B0" w14:textId="77777777" w:rsidR="00F92860" w:rsidRPr="00E24FB4" w:rsidRDefault="00F92860" w:rsidP="00F92860">
            <w:pPr>
              <w:jc w:val="right"/>
              <w:rPr>
                <w:sz w:val="18"/>
                <w:szCs w:val="18"/>
                <w:lang w:eastAsia="en-IN"/>
              </w:rPr>
            </w:pPr>
            <w:r w:rsidRPr="00E24FB4">
              <w:rPr>
                <w:sz w:val="18"/>
                <w:szCs w:val="18"/>
                <w:lang w:eastAsia="en-IN"/>
              </w:rPr>
              <w:t>6%</w:t>
            </w:r>
          </w:p>
        </w:tc>
        <w:tc>
          <w:tcPr>
            <w:tcW w:w="611" w:type="dxa"/>
            <w:shd w:val="clear" w:color="000000" w:fill="FFFFFF"/>
            <w:vAlign w:val="center"/>
            <w:hideMark/>
          </w:tcPr>
          <w:p w14:paraId="5420CF45" w14:textId="77777777" w:rsidR="00F92860" w:rsidRPr="00E24FB4" w:rsidRDefault="00F92860" w:rsidP="00F92860">
            <w:pPr>
              <w:jc w:val="right"/>
              <w:rPr>
                <w:sz w:val="18"/>
                <w:szCs w:val="18"/>
                <w:lang w:eastAsia="en-IN"/>
              </w:rPr>
            </w:pPr>
            <w:r w:rsidRPr="00E24FB4">
              <w:rPr>
                <w:sz w:val="18"/>
                <w:szCs w:val="18"/>
                <w:lang w:eastAsia="en-IN"/>
              </w:rPr>
              <w:t>6%</w:t>
            </w:r>
          </w:p>
        </w:tc>
        <w:tc>
          <w:tcPr>
            <w:tcW w:w="612" w:type="dxa"/>
            <w:shd w:val="clear" w:color="000000" w:fill="FFFFFF"/>
            <w:vAlign w:val="center"/>
            <w:hideMark/>
          </w:tcPr>
          <w:p w14:paraId="09BC60E9" w14:textId="77777777" w:rsidR="00F92860" w:rsidRPr="00E24FB4" w:rsidRDefault="00F92860" w:rsidP="00F92860">
            <w:pPr>
              <w:jc w:val="right"/>
              <w:rPr>
                <w:sz w:val="18"/>
                <w:szCs w:val="18"/>
                <w:lang w:eastAsia="en-IN"/>
              </w:rPr>
            </w:pPr>
            <w:r w:rsidRPr="00E24FB4">
              <w:rPr>
                <w:sz w:val="18"/>
                <w:szCs w:val="18"/>
                <w:lang w:eastAsia="en-IN"/>
              </w:rPr>
              <w:t>7%</w:t>
            </w:r>
          </w:p>
        </w:tc>
        <w:tc>
          <w:tcPr>
            <w:tcW w:w="611" w:type="dxa"/>
            <w:shd w:val="clear" w:color="000000" w:fill="FFFFFF"/>
            <w:vAlign w:val="center"/>
            <w:hideMark/>
          </w:tcPr>
          <w:p w14:paraId="1ADE9221" w14:textId="77777777" w:rsidR="00F92860" w:rsidRPr="00E24FB4" w:rsidRDefault="00F92860" w:rsidP="00F92860">
            <w:pPr>
              <w:jc w:val="right"/>
              <w:rPr>
                <w:sz w:val="18"/>
                <w:szCs w:val="18"/>
                <w:lang w:eastAsia="en-IN"/>
              </w:rPr>
            </w:pPr>
            <w:r w:rsidRPr="00E24FB4">
              <w:rPr>
                <w:sz w:val="18"/>
                <w:szCs w:val="18"/>
                <w:lang w:eastAsia="en-IN"/>
              </w:rPr>
              <w:t>12%</w:t>
            </w:r>
          </w:p>
        </w:tc>
        <w:tc>
          <w:tcPr>
            <w:tcW w:w="611" w:type="dxa"/>
            <w:shd w:val="clear" w:color="000000" w:fill="FFFFFF"/>
            <w:vAlign w:val="center"/>
            <w:hideMark/>
          </w:tcPr>
          <w:p w14:paraId="6798BA67" w14:textId="77777777" w:rsidR="00F92860" w:rsidRPr="00E24FB4" w:rsidRDefault="00F92860" w:rsidP="00F92860">
            <w:pPr>
              <w:jc w:val="right"/>
              <w:rPr>
                <w:sz w:val="18"/>
                <w:szCs w:val="18"/>
                <w:lang w:eastAsia="en-IN"/>
              </w:rPr>
            </w:pPr>
            <w:r w:rsidRPr="00E24FB4">
              <w:rPr>
                <w:sz w:val="18"/>
                <w:szCs w:val="18"/>
                <w:lang w:eastAsia="en-IN"/>
              </w:rPr>
              <w:t>14%</w:t>
            </w:r>
          </w:p>
        </w:tc>
        <w:tc>
          <w:tcPr>
            <w:tcW w:w="612" w:type="dxa"/>
            <w:shd w:val="clear" w:color="000000" w:fill="FFFFFF"/>
            <w:vAlign w:val="center"/>
            <w:hideMark/>
          </w:tcPr>
          <w:p w14:paraId="6933E705" w14:textId="77777777" w:rsidR="00F92860" w:rsidRPr="00E24FB4" w:rsidRDefault="00F92860" w:rsidP="00F92860">
            <w:pPr>
              <w:jc w:val="right"/>
              <w:rPr>
                <w:sz w:val="18"/>
                <w:szCs w:val="18"/>
                <w:lang w:eastAsia="en-IN"/>
              </w:rPr>
            </w:pPr>
            <w:r w:rsidRPr="00E24FB4">
              <w:rPr>
                <w:sz w:val="18"/>
                <w:szCs w:val="18"/>
                <w:lang w:eastAsia="en-IN"/>
              </w:rPr>
              <w:t>18%</w:t>
            </w:r>
          </w:p>
        </w:tc>
        <w:tc>
          <w:tcPr>
            <w:tcW w:w="611" w:type="dxa"/>
            <w:shd w:val="clear" w:color="000000" w:fill="FFFFFF"/>
            <w:vAlign w:val="center"/>
            <w:hideMark/>
          </w:tcPr>
          <w:p w14:paraId="07329059" w14:textId="77777777" w:rsidR="00F92860" w:rsidRPr="00E24FB4" w:rsidRDefault="00F92860" w:rsidP="00F92860">
            <w:pPr>
              <w:jc w:val="right"/>
              <w:rPr>
                <w:sz w:val="18"/>
                <w:szCs w:val="18"/>
                <w:lang w:eastAsia="en-IN"/>
              </w:rPr>
            </w:pPr>
            <w:r w:rsidRPr="00E24FB4">
              <w:rPr>
                <w:sz w:val="18"/>
                <w:szCs w:val="18"/>
                <w:lang w:eastAsia="en-IN"/>
              </w:rPr>
              <w:t>19%</w:t>
            </w:r>
          </w:p>
        </w:tc>
        <w:tc>
          <w:tcPr>
            <w:tcW w:w="611" w:type="dxa"/>
            <w:shd w:val="clear" w:color="000000" w:fill="FFFFFF"/>
            <w:vAlign w:val="center"/>
            <w:hideMark/>
          </w:tcPr>
          <w:p w14:paraId="39D85E87" w14:textId="77777777" w:rsidR="00F92860" w:rsidRPr="00E24FB4" w:rsidRDefault="00F92860" w:rsidP="00F92860">
            <w:pPr>
              <w:jc w:val="right"/>
              <w:rPr>
                <w:sz w:val="18"/>
                <w:szCs w:val="18"/>
                <w:lang w:eastAsia="en-IN"/>
              </w:rPr>
            </w:pPr>
            <w:r w:rsidRPr="00E24FB4">
              <w:rPr>
                <w:sz w:val="18"/>
                <w:szCs w:val="18"/>
                <w:lang w:eastAsia="en-IN"/>
              </w:rPr>
              <w:t>18%</w:t>
            </w:r>
          </w:p>
        </w:tc>
        <w:tc>
          <w:tcPr>
            <w:tcW w:w="612" w:type="dxa"/>
            <w:shd w:val="clear" w:color="000000" w:fill="FFFFFF"/>
            <w:vAlign w:val="center"/>
            <w:hideMark/>
          </w:tcPr>
          <w:p w14:paraId="3CAF43B9" w14:textId="77777777" w:rsidR="00F92860" w:rsidRPr="00E24FB4" w:rsidRDefault="00F92860" w:rsidP="00F92860">
            <w:pPr>
              <w:jc w:val="right"/>
              <w:rPr>
                <w:sz w:val="18"/>
                <w:szCs w:val="18"/>
                <w:lang w:eastAsia="en-IN"/>
              </w:rPr>
            </w:pPr>
            <w:r w:rsidRPr="00E24FB4">
              <w:rPr>
                <w:sz w:val="18"/>
                <w:szCs w:val="18"/>
                <w:lang w:eastAsia="en-IN"/>
              </w:rPr>
              <w:t>18%</w:t>
            </w:r>
          </w:p>
        </w:tc>
        <w:tc>
          <w:tcPr>
            <w:tcW w:w="611" w:type="dxa"/>
            <w:shd w:val="clear" w:color="000000" w:fill="FFFFFF"/>
            <w:vAlign w:val="center"/>
            <w:hideMark/>
          </w:tcPr>
          <w:p w14:paraId="2AC5F284" w14:textId="77777777" w:rsidR="00F92860" w:rsidRPr="00E24FB4" w:rsidRDefault="00F92860" w:rsidP="00F92860">
            <w:pPr>
              <w:jc w:val="right"/>
              <w:rPr>
                <w:sz w:val="18"/>
                <w:szCs w:val="18"/>
                <w:lang w:eastAsia="en-IN"/>
              </w:rPr>
            </w:pPr>
            <w:r w:rsidRPr="00E24FB4">
              <w:rPr>
                <w:sz w:val="18"/>
                <w:szCs w:val="18"/>
                <w:lang w:eastAsia="en-IN"/>
              </w:rPr>
              <w:t>19%</w:t>
            </w:r>
          </w:p>
        </w:tc>
        <w:tc>
          <w:tcPr>
            <w:tcW w:w="611" w:type="dxa"/>
            <w:shd w:val="clear" w:color="000000" w:fill="FFFFFF"/>
            <w:vAlign w:val="center"/>
            <w:hideMark/>
          </w:tcPr>
          <w:p w14:paraId="06F5716C" w14:textId="77777777" w:rsidR="00F92860" w:rsidRPr="00E24FB4" w:rsidRDefault="00F92860" w:rsidP="00F92860">
            <w:pPr>
              <w:jc w:val="right"/>
              <w:rPr>
                <w:sz w:val="18"/>
                <w:szCs w:val="18"/>
                <w:lang w:eastAsia="en-IN"/>
              </w:rPr>
            </w:pPr>
            <w:r w:rsidRPr="00E24FB4">
              <w:rPr>
                <w:sz w:val="18"/>
                <w:szCs w:val="18"/>
                <w:lang w:eastAsia="en-IN"/>
              </w:rPr>
              <w:t>19%</w:t>
            </w:r>
          </w:p>
        </w:tc>
        <w:tc>
          <w:tcPr>
            <w:tcW w:w="831" w:type="dxa"/>
            <w:shd w:val="clear" w:color="000000" w:fill="FFFFFF"/>
            <w:vAlign w:val="center"/>
            <w:hideMark/>
          </w:tcPr>
          <w:p w14:paraId="110CE9F2" w14:textId="77777777" w:rsidR="00F92860" w:rsidRPr="00E24FB4" w:rsidRDefault="00F92860" w:rsidP="00F92860">
            <w:pPr>
              <w:jc w:val="right"/>
              <w:rPr>
                <w:sz w:val="18"/>
                <w:szCs w:val="18"/>
                <w:lang w:eastAsia="en-IN"/>
              </w:rPr>
            </w:pPr>
            <w:r w:rsidRPr="00E24FB4">
              <w:rPr>
                <w:sz w:val="18"/>
                <w:szCs w:val="18"/>
                <w:lang w:eastAsia="en-IN"/>
              </w:rPr>
              <w:t>19%</w:t>
            </w:r>
          </w:p>
        </w:tc>
      </w:tr>
    </w:tbl>
    <w:p w14:paraId="21BF4CD1" w14:textId="1C1D67B3" w:rsidR="003103BF" w:rsidRPr="00E24FB4" w:rsidRDefault="00A22F57" w:rsidP="005F3B64">
      <w:pPr>
        <w:pStyle w:val="ListParagraph"/>
        <w:ind w:left="0"/>
        <w:rPr>
          <w:i/>
          <w:iCs/>
          <w:sz w:val="20"/>
          <w:szCs w:val="20"/>
        </w:rPr>
      </w:pPr>
      <w:r w:rsidRPr="00E24FB4">
        <w:rPr>
          <w:sz w:val="20"/>
          <w:szCs w:val="20"/>
        </w:rPr>
        <w:t>Going forward, gross margins of BRL are expected to improve driven by</w:t>
      </w:r>
      <w:r w:rsidR="000000DC" w:rsidRPr="00E24FB4">
        <w:rPr>
          <w:sz w:val="20"/>
          <w:szCs w:val="20"/>
        </w:rPr>
        <w:t xml:space="preserve"> the c</w:t>
      </w:r>
      <w:r w:rsidRPr="00E24FB4">
        <w:rPr>
          <w:sz w:val="20"/>
          <w:szCs w:val="20"/>
        </w:rPr>
        <w:t>hanging product mix – higher share of CRAMS</w:t>
      </w:r>
      <w:r w:rsidR="00E24FB4">
        <w:rPr>
          <w:sz w:val="20"/>
          <w:szCs w:val="20"/>
        </w:rPr>
        <w:t>, more patented molecules</w:t>
      </w:r>
      <w:r w:rsidRPr="00E24FB4">
        <w:rPr>
          <w:sz w:val="20"/>
          <w:szCs w:val="20"/>
        </w:rPr>
        <w:t xml:space="preserve"> and greater backward integration </w:t>
      </w:r>
      <w:r w:rsidR="000000DC" w:rsidRPr="00E24FB4">
        <w:rPr>
          <w:sz w:val="20"/>
          <w:szCs w:val="20"/>
        </w:rPr>
        <w:t xml:space="preserve">(intermediates plant to reduce China dependence) </w:t>
      </w:r>
      <w:r w:rsidRPr="00E24FB4">
        <w:rPr>
          <w:sz w:val="20"/>
          <w:szCs w:val="20"/>
        </w:rPr>
        <w:t>should improve gross margins going forward.</w:t>
      </w:r>
    </w:p>
    <w:tbl>
      <w:tblPr>
        <w:tblStyle w:val="TableGrid"/>
        <w:tblW w:w="0" w:type="auto"/>
        <w:tblLook w:val="04A0" w:firstRow="1" w:lastRow="0" w:firstColumn="1" w:lastColumn="0" w:noHBand="0" w:noVBand="1"/>
      </w:tblPr>
      <w:tblGrid>
        <w:gridCol w:w="9010"/>
      </w:tblGrid>
      <w:tr w:rsidR="00E24FB4" w:rsidRPr="00E24FB4" w14:paraId="7393A227" w14:textId="77777777" w:rsidTr="00764351">
        <w:tc>
          <w:tcPr>
            <w:tcW w:w="9010" w:type="dxa"/>
          </w:tcPr>
          <w:p w14:paraId="42F2B196" w14:textId="77777777" w:rsidR="004A255A" w:rsidRPr="00E24FB4" w:rsidRDefault="004A255A">
            <w:pPr>
              <w:rPr>
                <w:i/>
                <w:iCs/>
                <w:sz w:val="20"/>
                <w:szCs w:val="20"/>
              </w:rPr>
            </w:pPr>
            <w:r w:rsidRPr="00E24FB4">
              <w:rPr>
                <w:b/>
                <w:bCs/>
                <w:sz w:val="20"/>
                <w:szCs w:val="20"/>
              </w:rPr>
              <w:t>KEY MONIT</w:t>
            </w:r>
            <w:r w:rsidR="00A73A9E" w:rsidRPr="00E24FB4">
              <w:rPr>
                <w:b/>
                <w:bCs/>
                <w:sz w:val="20"/>
                <w:szCs w:val="20"/>
              </w:rPr>
              <w:t>O</w:t>
            </w:r>
            <w:r w:rsidRPr="00E24FB4">
              <w:rPr>
                <w:b/>
                <w:bCs/>
                <w:sz w:val="20"/>
                <w:szCs w:val="20"/>
              </w:rPr>
              <w:t>RABLE</w:t>
            </w:r>
          </w:p>
        </w:tc>
      </w:tr>
    </w:tbl>
    <w:p w14:paraId="42075A98" w14:textId="2ACDBC85" w:rsidR="00C662F3" w:rsidRPr="00E24FB4" w:rsidRDefault="00C662F3" w:rsidP="00436A87">
      <w:pPr>
        <w:pStyle w:val="ListParagraph"/>
        <w:numPr>
          <w:ilvl w:val="0"/>
          <w:numId w:val="17"/>
        </w:numPr>
        <w:rPr>
          <w:sz w:val="20"/>
          <w:szCs w:val="20"/>
        </w:rPr>
      </w:pPr>
      <w:r w:rsidRPr="00E24FB4">
        <w:rPr>
          <w:sz w:val="20"/>
          <w:szCs w:val="20"/>
        </w:rPr>
        <w:t>Proportion of patented CRAMS Sales in total sales</w:t>
      </w:r>
      <w:r w:rsidR="007F3226" w:rsidRPr="00E24FB4">
        <w:rPr>
          <w:sz w:val="20"/>
          <w:szCs w:val="20"/>
        </w:rPr>
        <w:t xml:space="preserve"> – Entry into partnerships/contracts with other global agrochemicals MNCs similar to Nissan, and also higher share of patented CRAMs in total sales – These are long term and sticky in nature and provide longevity to the business.</w:t>
      </w:r>
    </w:p>
    <w:p w14:paraId="52476618" w14:textId="68AB2F4E" w:rsidR="00C662F3" w:rsidRPr="00E24FB4" w:rsidRDefault="00C662F3" w:rsidP="00436A87">
      <w:pPr>
        <w:pStyle w:val="ListParagraph"/>
        <w:numPr>
          <w:ilvl w:val="0"/>
          <w:numId w:val="17"/>
        </w:numPr>
        <w:rPr>
          <w:sz w:val="20"/>
          <w:szCs w:val="20"/>
        </w:rPr>
      </w:pPr>
      <w:r w:rsidRPr="00E24FB4">
        <w:rPr>
          <w:sz w:val="20"/>
          <w:szCs w:val="20"/>
        </w:rPr>
        <w:t>Increase in export sales to other customers / geographies</w:t>
      </w:r>
    </w:p>
    <w:p w14:paraId="0A42A220" w14:textId="158AC4DB" w:rsidR="00C662F3" w:rsidRPr="00E24FB4" w:rsidRDefault="00C662F3" w:rsidP="00436A87">
      <w:pPr>
        <w:pStyle w:val="ListParagraph"/>
        <w:numPr>
          <w:ilvl w:val="0"/>
          <w:numId w:val="17"/>
        </w:numPr>
        <w:rPr>
          <w:sz w:val="20"/>
          <w:szCs w:val="20"/>
        </w:rPr>
      </w:pPr>
      <w:r w:rsidRPr="00E24FB4">
        <w:rPr>
          <w:sz w:val="20"/>
          <w:szCs w:val="20"/>
        </w:rPr>
        <w:t>Progress in capex of Nissan JV</w:t>
      </w:r>
    </w:p>
    <w:p w14:paraId="276C652B" w14:textId="3A4BB9F9" w:rsidR="00A73A9E" w:rsidRPr="005F3B64" w:rsidRDefault="00C662F3" w:rsidP="00BE0A43">
      <w:pPr>
        <w:pStyle w:val="ListParagraph"/>
        <w:numPr>
          <w:ilvl w:val="0"/>
          <w:numId w:val="17"/>
        </w:numPr>
        <w:rPr>
          <w:b/>
          <w:bCs/>
          <w:sz w:val="20"/>
          <w:szCs w:val="20"/>
        </w:rPr>
      </w:pPr>
      <w:r w:rsidRPr="005F3B64">
        <w:rPr>
          <w:sz w:val="20"/>
          <w:szCs w:val="20"/>
        </w:rPr>
        <w:t>Standalone business future expansion</w:t>
      </w:r>
      <w:r w:rsidR="007F3226" w:rsidRPr="005F3B64">
        <w:rPr>
          <w:sz w:val="20"/>
          <w:szCs w:val="20"/>
        </w:rPr>
        <w:t xml:space="preserve"> </w:t>
      </w:r>
    </w:p>
    <w:tbl>
      <w:tblPr>
        <w:tblStyle w:val="TableGrid"/>
        <w:tblW w:w="0" w:type="auto"/>
        <w:tblLook w:val="04A0" w:firstRow="1" w:lastRow="0" w:firstColumn="1" w:lastColumn="0" w:noHBand="0" w:noVBand="1"/>
      </w:tblPr>
      <w:tblGrid>
        <w:gridCol w:w="9010"/>
      </w:tblGrid>
      <w:tr w:rsidR="00E24FB4" w:rsidRPr="00E24FB4" w14:paraId="21EC83B1" w14:textId="77777777" w:rsidTr="00764351">
        <w:tc>
          <w:tcPr>
            <w:tcW w:w="9010" w:type="dxa"/>
          </w:tcPr>
          <w:p w14:paraId="0471EF0D" w14:textId="77777777" w:rsidR="00A73A9E" w:rsidRPr="00E24FB4" w:rsidRDefault="00A73A9E" w:rsidP="00A73A9E">
            <w:pPr>
              <w:rPr>
                <w:i/>
                <w:iCs/>
                <w:sz w:val="20"/>
                <w:szCs w:val="20"/>
              </w:rPr>
            </w:pPr>
            <w:r w:rsidRPr="00E24FB4">
              <w:rPr>
                <w:b/>
                <w:bCs/>
                <w:sz w:val="20"/>
                <w:szCs w:val="20"/>
              </w:rPr>
              <w:t>MANAGEMENT QUALITY</w:t>
            </w:r>
          </w:p>
        </w:tc>
      </w:tr>
    </w:tbl>
    <w:p w14:paraId="4889459C" w14:textId="61E470E1" w:rsidR="00A73A9E" w:rsidRPr="00E24FB4" w:rsidRDefault="00A73A9E" w:rsidP="00436A87">
      <w:pPr>
        <w:pStyle w:val="ListParagraph"/>
        <w:numPr>
          <w:ilvl w:val="0"/>
          <w:numId w:val="2"/>
        </w:numPr>
        <w:rPr>
          <w:b/>
          <w:bCs/>
          <w:sz w:val="20"/>
          <w:szCs w:val="20"/>
        </w:rPr>
      </w:pPr>
      <w:r w:rsidRPr="00E24FB4">
        <w:rPr>
          <w:b/>
          <w:bCs/>
          <w:sz w:val="20"/>
          <w:szCs w:val="20"/>
        </w:rPr>
        <w:t>DNA of business</w:t>
      </w:r>
    </w:p>
    <w:p w14:paraId="1EFC8DFF" w14:textId="24CBCC13" w:rsidR="00A73A9E" w:rsidRPr="00E24FB4" w:rsidRDefault="00A73A9E" w:rsidP="00436A87">
      <w:pPr>
        <w:pStyle w:val="ListParagraph"/>
        <w:numPr>
          <w:ilvl w:val="0"/>
          <w:numId w:val="18"/>
        </w:numPr>
        <w:rPr>
          <w:b/>
          <w:bCs/>
          <w:sz w:val="20"/>
          <w:szCs w:val="20"/>
        </w:rPr>
      </w:pPr>
      <w:r w:rsidRPr="00E24FB4">
        <w:rPr>
          <w:b/>
          <w:bCs/>
          <w:sz w:val="20"/>
          <w:szCs w:val="20"/>
        </w:rPr>
        <w:t xml:space="preserve">Cost Efficiency Focus – </w:t>
      </w:r>
      <w:r w:rsidR="00B71296" w:rsidRPr="00E24FB4">
        <w:rPr>
          <w:b/>
          <w:bCs/>
          <w:sz w:val="20"/>
          <w:szCs w:val="20"/>
        </w:rPr>
        <w:t>Medium</w:t>
      </w:r>
    </w:p>
    <w:p w14:paraId="45E07A27" w14:textId="38DB2548" w:rsidR="00C2125E" w:rsidRDefault="00C2125E" w:rsidP="00C2125E">
      <w:pPr>
        <w:pStyle w:val="ListParagraph"/>
        <w:numPr>
          <w:ilvl w:val="0"/>
          <w:numId w:val="35"/>
        </w:numPr>
        <w:rPr>
          <w:sz w:val="20"/>
          <w:szCs w:val="20"/>
        </w:rPr>
      </w:pPr>
      <w:r>
        <w:rPr>
          <w:sz w:val="20"/>
          <w:szCs w:val="20"/>
        </w:rPr>
        <w:t>Ability to scale up plant utilisations quickly and continue to run the plant at high utilisations.</w:t>
      </w:r>
    </w:p>
    <w:p w14:paraId="3960CB5F" w14:textId="4C22D320" w:rsidR="00B71296" w:rsidRPr="00E24FB4" w:rsidRDefault="005B7842" w:rsidP="00C2125E">
      <w:pPr>
        <w:pStyle w:val="ListParagraph"/>
        <w:numPr>
          <w:ilvl w:val="0"/>
          <w:numId w:val="35"/>
        </w:numPr>
        <w:rPr>
          <w:sz w:val="20"/>
          <w:szCs w:val="20"/>
        </w:rPr>
      </w:pPr>
      <w:r w:rsidRPr="00E24FB4">
        <w:rPr>
          <w:sz w:val="20"/>
          <w:szCs w:val="20"/>
        </w:rPr>
        <w:t>They lay strong emphasis on supplier loyalty and provide cash payments in exchange of discounts (unlike the rest of the industry).</w:t>
      </w:r>
    </w:p>
    <w:p w14:paraId="093C63DB" w14:textId="77777777" w:rsidR="00A73A9E" w:rsidRPr="00E24FB4" w:rsidRDefault="00A73A9E" w:rsidP="00436A87">
      <w:pPr>
        <w:pStyle w:val="ListParagraph"/>
        <w:numPr>
          <w:ilvl w:val="0"/>
          <w:numId w:val="18"/>
        </w:numPr>
        <w:rPr>
          <w:sz w:val="20"/>
          <w:szCs w:val="20"/>
        </w:rPr>
      </w:pPr>
      <w:r w:rsidRPr="00E24FB4">
        <w:rPr>
          <w:b/>
          <w:bCs/>
          <w:sz w:val="20"/>
          <w:szCs w:val="20"/>
        </w:rPr>
        <w:t>Production Efficiency – High</w:t>
      </w:r>
    </w:p>
    <w:p w14:paraId="5658F91B" w14:textId="77777777" w:rsidR="005B7842" w:rsidRPr="00E24FB4" w:rsidRDefault="005B7842" w:rsidP="007C7BE0">
      <w:pPr>
        <w:pStyle w:val="ListParagraph"/>
        <w:ind w:left="360"/>
        <w:rPr>
          <w:sz w:val="20"/>
          <w:szCs w:val="20"/>
        </w:rPr>
      </w:pPr>
      <w:r w:rsidRPr="00E24FB4">
        <w:rPr>
          <w:sz w:val="20"/>
          <w:szCs w:val="20"/>
        </w:rPr>
        <w:t xml:space="preserve">Their ability to scale up operations (like in </w:t>
      </w:r>
      <w:proofErr w:type="spellStart"/>
      <w:r w:rsidRPr="00E24FB4">
        <w:rPr>
          <w:sz w:val="20"/>
          <w:szCs w:val="20"/>
        </w:rPr>
        <w:t>Dahej</w:t>
      </w:r>
      <w:proofErr w:type="spellEnd"/>
      <w:r w:rsidRPr="00E24FB4">
        <w:rPr>
          <w:sz w:val="20"/>
          <w:szCs w:val="20"/>
        </w:rPr>
        <w:t>) and attain full capacity utilisation is good – Even if the molecules are relatively lower gross margin, they are overall able to obtain good overall margins with full capacity utilisation.</w:t>
      </w:r>
    </w:p>
    <w:p w14:paraId="11561B4D" w14:textId="77777777" w:rsidR="009F1593" w:rsidRPr="00E24FB4" w:rsidRDefault="005B7842" w:rsidP="007C7BE0">
      <w:pPr>
        <w:pStyle w:val="ListParagraph"/>
        <w:rPr>
          <w:sz w:val="20"/>
          <w:szCs w:val="20"/>
        </w:rPr>
      </w:pPr>
      <w:r w:rsidRPr="00E24FB4">
        <w:rPr>
          <w:sz w:val="20"/>
          <w:szCs w:val="20"/>
        </w:rPr>
        <w:t>Evident through</w:t>
      </w:r>
      <w:r w:rsidR="009F1593" w:rsidRPr="00E24FB4">
        <w:rPr>
          <w:sz w:val="20"/>
          <w:szCs w:val="20"/>
        </w:rPr>
        <w:t>:-</w:t>
      </w:r>
    </w:p>
    <w:p w14:paraId="5496A561" w14:textId="77C305AB" w:rsidR="007C7BE0" w:rsidRPr="000758FD" w:rsidRDefault="009F1593" w:rsidP="00436A87">
      <w:pPr>
        <w:pStyle w:val="ListParagraph"/>
        <w:numPr>
          <w:ilvl w:val="1"/>
          <w:numId w:val="18"/>
        </w:numPr>
        <w:rPr>
          <w:sz w:val="20"/>
          <w:szCs w:val="20"/>
        </w:rPr>
      </w:pPr>
      <w:r w:rsidRPr="00E24FB4">
        <w:rPr>
          <w:sz w:val="20"/>
          <w:szCs w:val="20"/>
        </w:rPr>
        <w:t>H</w:t>
      </w:r>
      <w:r w:rsidR="00400FE4" w:rsidRPr="00E24FB4">
        <w:rPr>
          <w:sz w:val="20"/>
          <w:szCs w:val="20"/>
        </w:rPr>
        <w:t xml:space="preserve">igh </w:t>
      </w:r>
      <w:r w:rsidRPr="00E24FB4">
        <w:rPr>
          <w:sz w:val="20"/>
          <w:szCs w:val="20"/>
        </w:rPr>
        <w:t>Net F</w:t>
      </w:r>
      <w:r w:rsidR="00400FE4" w:rsidRPr="00E24FB4">
        <w:rPr>
          <w:sz w:val="20"/>
          <w:szCs w:val="20"/>
        </w:rPr>
        <w:t xml:space="preserve">ixed Asset Turnover of </w:t>
      </w:r>
      <w:r w:rsidRPr="00E24FB4">
        <w:rPr>
          <w:sz w:val="20"/>
          <w:szCs w:val="20"/>
        </w:rPr>
        <w:t>3</w:t>
      </w:r>
      <w:r w:rsidR="005B7842" w:rsidRPr="00E24FB4">
        <w:rPr>
          <w:sz w:val="20"/>
          <w:szCs w:val="20"/>
        </w:rPr>
        <w:t xml:space="preserve">x-6x over the years compared </w:t>
      </w:r>
      <w:r w:rsidRPr="00E24FB4">
        <w:rPr>
          <w:sz w:val="20"/>
          <w:szCs w:val="20"/>
        </w:rPr>
        <w:t>2.0-</w:t>
      </w:r>
      <w:r w:rsidR="005B7842" w:rsidRPr="00E24FB4">
        <w:rPr>
          <w:sz w:val="20"/>
          <w:szCs w:val="20"/>
        </w:rPr>
        <w:t>3.</w:t>
      </w:r>
      <w:r w:rsidRPr="00E24FB4">
        <w:rPr>
          <w:sz w:val="20"/>
          <w:szCs w:val="20"/>
        </w:rPr>
        <w:t>5</w:t>
      </w:r>
      <w:r w:rsidR="005B7842" w:rsidRPr="00E24FB4">
        <w:rPr>
          <w:sz w:val="20"/>
          <w:szCs w:val="20"/>
        </w:rPr>
        <w:t>x for the industry</w:t>
      </w:r>
      <w:r w:rsidRPr="00E24FB4">
        <w:rPr>
          <w:sz w:val="20"/>
          <w:szCs w:val="20"/>
        </w:rPr>
        <w:t xml:space="preserve"> </w:t>
      </w:r>
      <w:r w:rsidR="0088701F" w:rsidRPr="00585E3A">
        <w:rPr>
          <w:sz w:val="20"/>
          <w:szCs w:val="20"/>
        </w:rPr>
        <w:t>&amp;</w:t>
      </w:r>
    </w:p>
    <w:p w14:paraId="4977841C" w14:textId="7DB9266A" w:rsidR="00CE2BAE" w:rsidRPr="00585E3A" w:rsidRDefault="00400FE4" w:rsidP="00BE0A43">
      <w:pPr>
        <w:pStyle w:val="ListParagraph"/>
        <w:numPr>
          <w:ilvl w:val="1"/>
          <w:numId w:val="18"/>
        </w:numPr>
        <w:rPr>
          <w:sz w:val="20"/>
          <w:szCs w:val="20"/>
        </w:rPr>
      </w:pPr>
      <w:r w:rsidRPr="00A37281">
        <w:rPr>
          <w:sz w:val="20"/>
          <w:szCs w:val="20"/>
        </w:rPr>
        <w:t xml:space="preserve">Operating Leverage </w:t>
      </w:r>
      <w:r w:rsidR="009F1593" w:rsidRPr="00A37281">
        <w:rPr>
          <w:sz w:val="20"/>
          <w:szCs w:val="20"/>
        </w:rPr>
        <w:t>as of FY 19 end is 0.68x evidencing high levels of capacity utilisation</w:t>
      </w:r>
      <w:r w:rsidR="009F1593" w:rsidRPr="00585E3A">
        <w:rPr>
          <w:sz w:val="20"/>
          <w:szCs w:val="20"/>
        </w:rPr>
        <w:t>.</w:t>
      </w:r>
    </w:p>
    <w:tbl>
      <w:tblPr>
        <w:tblW w:w="10025" w:type="dxa"/>
        <w:tblLayout w:type="fixed"/>
        <w:tblLook w:val="04A0" w:firstRow="1" w:lastRow="0" w:firstColumn="1" w:lastColumn="0" w:noHBand="0" w:noVBand="1"/>
      </w:tblPr>
      <w:tblGrid>
        <w:gridCol w:w="2253"/>
        <w:gridCol w:w="647"/>
        <w:gridCol w:w="648"/>
        <w:gridCol w:w="648"/>
        <w:gridCol w:w="647"/>
        <w:gridCol w:w="648"/>
        <w:gridCol w:w="648"/>
        <w:gridCol w:w="647"/>
        <w:gridCol w:w="648"/>
        <w:gridCol w:w="648"/>
        <w:gridCol w:w="647"/>
        <w:gridCol w:w="648"/>
        <w:gridCol w:w="648"/>
      </w:tblGrid>
      <w:tr w:rsidR="00E24FB4" w:rsidRPr="00E24FB4" w14:paraId="06251EF3" w14:textId="77777777" w:rsidTr="00CE2BAE">
        <w:trPr>
          <w:trHeight w:val="209"/>
        </w:trPr>
        <w:tc>
          <w:tcPr>
            <w:tcW w:w="2253" w:type="dxa"/>
            <w:tcBorders>
              <w:top w:val="single" w:sz="4" w:space="0" w:color="auto"/>
              <w:left w:val="single" w:sz="4" w:space="0" w:color="auto"/>
              <w:bottom w:val="single" w:sz="4" w:space="0" w:color="auto"/>
              <w:right w:val="single" w:sz="4" w:space="0" w:color="auto"/>
            </w:tcBorders>
            <w:shd w:val="clear" w:color="auto" w:fill="auto"/>
            <w:noWrap/>
            <w:hideMark/>
          </w:tcPr>
          <w:p w14:paraId="7308159F" w14:textId="3F6CBB73" w:rsidR="00CE2BAE" w:rsidRPr="00E24FB4" w:rsidRDefault="00CE2BAE" w:rsidP="00CE2BAE">
            <w:pPr>
              <w:rPr>
                <w:b/>
                <w:bCs/>
                <w:sz w:val="18"/>
                <w:szCs w:val="18"/>
                <w:lang w:eastAsia="en-IN"/>
              </w:rPr>
            </w:pPr>
            <w:r w:rsidRPr="00E24FB4">
              <w:rPr>
                <w:b/>
                <w:bCs/>
                <w:sz w:val="18"/>
                <w:szCs w:val="18"/>
                <w:lang w:eastAsia="en-IN"/>
              </w:rPr>
              <w:t>Production efficiency</w:t>
            </w:r>
          </w:p>
        </w:tc>
        <w:tc>
          <w:tcPr>
            <w:tcW w:w="647" w:type="dxa"/>
            <w:tcBorders>
              <w:top w:val="single" w:sz="4" w:space="0" w:color="auto"/>
              <w:left w:val="nil"/>
              <w:bottom w:val="single" w:sz="4" w:space="0" w:color="auto"/>
              <w:right w:val="single" w:sz="4" w:space="0" w:color="auto"/>
            </w:tcBorders>
            <w:shd w:val="clear" w:color="auto" w:fill="auto"/>
            <w:hideMark/>
          </w:tcPr>
          <w:p w14:paraId="183262FC" w14:textId="51B2AFB2" w:rsidR="00CE2BAE" w:rsidRPr="00E24FB4" w:rsidRDefault="00CE2BAE" w:rsidP="00CE2BAE">
            <w:pPr>
              <w:rPr>
                <w:b/>
                <w:bCs/>
                <w:sz w:val="18"/>
                <w:szCs w:val="18"/>
                <w:lang w:eastAsia="en-IN"/>
              </w:rPr>
            </w:pPr>
            <w:r w:rsidRPr="00E24FB4">
              <w:rPr>
                <w:b/>
                <w:bCs/>
                <w:sz w:val="18"/>
                <w:szCs w:val="18"/>
                <w:lang w:eastAsia="en-IN"/>
              </w:rPr>
              <w:t>FY08</w:t>
            </w:r>
          </w:p>
        </w:tc>
        <w:tc>
          <w:tcPr>
            <w:tcW w:w="648" w:type="dxa"/>
            <w:tcBorders>
              <w:top w:val="single" w:sz="4" w:space="0" w:color="auto"/>
              <w:left w:val="nil"/>
              <w:bottom w:val="single" w:sz="4" w:space="0" w:color="auto"/>
              <w:right w:val="single" w:sz="4" w:space="0" w:color="auto"/>
            </w:tcBorders>
            <w:shd w:val="clear" w:color="auto" w:fill="auto"/>
            <w:hideMark/>
          </w:tcPr>
          <w:p w14:paraId="600C1884" w14:textId="7A8A5CC1" w:rsidR="00CE2BAE" w:rsidRPr="00E24FB4" w:rsidRDefault="00CE2BAE" w:rsidP="00CE2BAE">
            <w:pPr>
              <w:rPr>
                <w:b/>
                <w:bCs/>
                <w:sz w:val="18"/>
                <w:szCs w:val="18"/>
                <w:lang w:eastAsia="en-IN"/>
              </w:rPr>
            </w:pPr>
            <w:r w:rsidRPr="00E24FB4">
              <w:rPr>
                <w:b/>
                <w:bCs/>
                <w:sz w:val="18"/>
                <w:szCs w:val="18"/>
                <w:lang w:eastAsia="en-IN"/>
              </w:rPr>
              <w:t>FY09</w:t>
            </w:r>
          </w:p>
        </w:tc>
        <w:tc>
          <w:tcPr>
            <w:tcW w:w="648" w:type="dxa"/>
            <w:tcBorders>
              <w:top w:val="single" w:sz="4" w:space="0" w:color="auto"/>
              <w:left w:val="nil"/>
              <w:bottom w:val="single" w:sz="4" w:space="0" w:color="auto"/>
              <w:right w:val="single" w:sz="4" w:space="0" w:color="auto"/>
            </w:tcBorders>
            <w:shd w:val="clear" w:color="auto" w:fill="auto"/>
            <w:hideMark/>
          </w:tcPr>
          <w:p w14:paraId="4B1557EB" w14:textId="2F971374" w:rsidR="00CE2BAE" w:rsidRPr="00E24FB4" w:rsidRDefault="00CE2BAE" w:rsidP="00CE2BAE">
            <w:pPr>
              <w:rPr>
                <w:b/>
                <w:bCs/>
                <w:sz w:val="18"/>
                <w:szCs w:val="18"/>
                <w:lang w:eastAsia="en-IN"/>
              </w:rPr>
            </w:pPr>
            <w:r w:rsidRPr="00E24FB4">
              <w:rPr>
                <w:b/>
                <w:bCs/>
                <w:sz w:val="18"/>
                <w:szCs w:val="18"/>
                <w:lang w:eastAsia="en-IN"/>
              </w:rPr>
              <w:t>FY10</w:t>
            </w:r>
          </w:p>
        </w:tc>
        <w:tc>
          <w:tcPr>
            <w:tcW w:w="647" w:type="dxa"/>
            <w:tcBorders>
              <w:top w:val="single" w:sz="4" w:space="0" w:color="auto"/>
              <w:left w:val="nil"/>
              <w:bottom w:val="single" w:sz="4" w:space="0" w:color="auto"/>
              <w:right w:val="single" w:sz="4" w:space="0" w:color="auto"/>
            </w:tcBorders>
            <w:shd w:val="clear" w:color="auto" w:fill="auto"/>
            <w:hideMark/>
          </w:tcPr>
          <w:p w14:paraId="0CDAB5A8" w14:textId="0563EB0F" w:rsidR="00CE2BAE" w:rsidRPr="00E24FB4" w:rsidRDefault="00CE2BAE" w:rsidP="00CE2BAE">
            <w:pPr>
              <w:rPr>
                <w:b/>
                <w:bCs/>
                <w:sz w:val="18"/>
                <w:szCs w:val="18"/>
                <w:lang w:eastAsia="en-IN"/>
              </w:rPr>
            </w:pPr>
            <w:r w:rsidRPr="00E24FB4">
              <w:rPr>
                <w:b/>
                <w:bCs/>
                <w:sz w:val="18"/>
                <w:szCs w:val="18"/>
                <w:lang w:eastAsia="en-IN"/>
              </w:rPr>
              <w:t>FY11</w:t>
            </w:r>
          </w:p>
        </w:tc>
        <w:tc>
          <w:tcPr>
            <w:tcW w:w="648" w:type="dxa"/>
            <w:tcBorders>
              <w:top w:val="single" w:sz="4" w:space="0" w:color="auto"/>
              <w:left w:val="nil"/>
              <w:bottom w:val="single" w:sz="4" w:space="0" w:color="auto"/>
              <w:right w:val="single" w:sz="4" w:space="0" w:color="auto"/>
            </w:tcBorders>
            <w:shd w:val="clear" w:color="auto" w:fill="auto"/>
            <w:hideMark/>
          </w:tcPr>
          <w:p w14:paraId="3D7794FF" w14:textId="7B6BAF0D" w:rsidR="00CE2BAE" w:rsidRPr="00E24FB4" w:rsidRDefault="00CE2BAE" w:rsidP="00CE2BAE">
            <w:pPr>
              <w:rPr>
                <w:b/>
                <w:bCs/>
                <w:sz w:val="18"/>
                <w:szCs w:val="18"/>
                <w:lang w:eastAsia="en-IN"/>
              </w:rPr>
            </w:pPr>
            <w:r w:rsidRPr="00E24FB4">
              <w:rPr>
                <w:b/>
                <w:bCs/>
                <w:sz w:val="18"/>
                <w:szCs w:val="18"/>
                <w:lang w:eastAsia="en-IN"/>
              </w:rPr>
              <w:t>FY12</w:t>
            </w:r>
          </w:p>
        </w:tc>
        <w:tc>
          <w:tcPr>
            <w:tcW w:w="648" w:type="dxa"/>
            <w:tcBorders>
              <w:top w:val="single" w:sz="4" w:space="0" w:color="auto"/>
              <w:left w:val="nil"/>
              <w:bottom w:val="single" w:sz="4" w:space="0" w:color="auto"/>
              <w:right w:val="single" w:sz="4" w:space="0" w:color="auto"/>
            </w:tcBorders>
            <w:shd w:val="clear" w:color="auto" w:fill="auto"/>
            <w:hideMark/>
          </w:tcPr>
          <w:p w14:paraId="2F9BBF7F" w14:textId="21663A1E" w:rsidR="00CE2BAE" w:rsidRPr="00E24FB4" w:rsidRDefault="00CE2BAE" w:rsidP="00CE2BAE">
            <w:pPr>
              <w:rPr>
                <w:b/>
                <w:bCs/>
                <w:sz w:val="18"/>
                <w:szCs w:val="18"/>
                <w:lang w:eastAsia="en-IN"/>
              </w:rPr>
            </w:pPr>
            <w:r w:rsidRPr="00E24FB4">
              <w:rPr>
                <w:b/>
                <w:bCs/>
                <w:sz w:val="18"/>
                <w:szCs w:val="18"/>
                <w:lang w:eastAsia="en-IN"/>
              </w:rPr>
              <w:t>FY13</w:t>
            </w:r>
          </w:p>
        </w:tc>
        <w:tc>
          <w:tcPr>
            <w:tcW w:w="647" w:type="dxa"/>
            <w:tcBorders>
              <w:top w:val="single" w:sz="4" w:space="0" w:color="auto"/>
              <w:left w:val="nil"/>
              <w:bottom w:val="single" w:sz="4" w:space="0" w:color="auto"/>
              <w:right w:val="single" w:sz="4" w:space="0" w:color="auto"/>
            </w:tcBorders>
            <w:shd w:val="clear" w:color="auto" w:fill="auto"/>
            <w:hideMark/>
          </w:tcPr>
          <w:p w14:paraId="050E4235" w14:textId="79FDB8F4" w:rsidR="00CE2BAE" w:rsidRPr="00E24FB4" w:rsidRDefault="00CE2BAE" w:rsidP="00CE2BAE">
            <w:pPr>
              <w:rPr>
                <w:b/>
                <w:bCs/>
                <w:sz w:val="18"/>
                <w:szCs w:val="18"/>
                <w:lang w:eastAsia="en-IN"/>
              </w:rPr>
            </w:pPr>
            <w:r w:rsidRPr="00E24FB4">
              <w:rPr>
                <w:b/>
                <w:bCs/>
                <w:sz w:val="18"/>
                <w:szCs w:val="18"/>
                <w:lang w:eastAsia="en-IN"/>
              </w:rPr>
              <w:t>FY14</w:t>
            </w:r>
          </w:p>
        </w:tc>
        <w:tc>
          <w:tcPr>
            <w:tcW w:w="648" w:type="dxa"/>
            <w:tcBorders>
              <w:top w:val="single" w:sz="4" w:space="0" w:color="auto"/>
              <w:left w:val="nil"/>
              <w:bottom w:val="single" w:sz="4" w:space="0" w:color="auto"/>
              <w:right w:val="single" w:sz="4" w:space="0" w:color="auto"/>
            </w:tcBorders>
            <w:shd w:val="clear" w:color="auto" w:fill="auto"/>
            <w:hideMark/>
          </w:tcPr>
          <w:p w14:paraId="0F0EA148" w14:textId="357CDC2B" w:rsidR="00CE2BAE" w:rsidRPr="00E24FB4" w:rsidRDefault="00CE2BAE" w:rsidP="00CE2BAE">
            <w:pPr>
              <w:rPr>
                <w:b/>
                <w:bCs/>
                <w:sz w:val="18"/>
                <w:szCs w:val="18"/>
                <w:lang w:eastAsia="en-IN"/>
              </w:rPr>
            </w:pPr>
            <w:r w:rsidRPr="00E24FB4">
              <w:rPr>
                <w:b/>
                <w:bCs/>
                <w:sz w:val="18"/>
                <w:szCs w:val="18"/>
                <w:lang w:eastAsia="en-IN"/>
              </w:rPr>
              <w:t>FY15</w:t>
            </w:r>
          </w:p>
        </w:tc>
        <w:tc>
          <w:tcPr>
            <w:tcW w:w="648" w:type="dxa"/>
            <w:tcBorders>
              <w:top w:val="single" w:sz="4" w:space="0" w:color="auto"/>
              <w:left w:val="nil"/>
              <w:bottom w:val="single" w:sz="4" w:space="0" w:color="auto"/>
              <w:right w:val="single" w:sz="4" w:space="0" w:color="auto"/>
            </w:tcBorders>
            <w:shd w:val="clear" w:color="auto" w:fill="auto"/>
            <w:hideMark/>
          </w:tcPr>
          <w:p w14:paraId="3F4DF935" w14:textId="1FE85958" w:rsidR="00CE2BAE" w:rsidRPr="00E24FB4" w:rsidRDefault="00CE2BAE" w:rsidP="00CE2BAE">
            <w:pPr>
              <w:rPr>
                <w:b/>
                <w:bCs/>
                <w:sz w:val="18"/>
                <w:szCs w:val="18"/>
                <w:lang w:eastAsia="en-IN"/>
              </w:rPr>
            </w:pPr>
            <w:r w:rsidRPr="00E24FB4">
              <w:rPr>
                <w:b/>
                <w:bCs/>
                <w:sz w:val="18"/>
                <w:szCs w:val="18"/>
                <w:lang w:eastAsia="en-IN"/>
              </w:rPr>
              <w:t>FY16</w:t>
            </w:r>
          </w:p>
        </w:tc>
        <w:tc>
          <w:tcPr>
            <w:tcW w:w="647" w:type="dxa"/>
            <w:tcBorders>
              <w:top w:val="single" w:sz="4" w:space="0" w:color="auto"/>
              <w:left w:val="nil"/>
              <w:bottom w:val="single" w:sz="4" w:space="0" w:color="auto"/>
              <w:right w:val="single" w:sz="4" w:space="0" w:color="auto"/>
            </w:tcBorders>
            <w:shd w:val="clear" w:color="auto" w:fill="auto"/>
            <w:hideMark/>
          </w:tcPr>
          <w:p w14:paraId="2D5E4CFB" w14:textId="4A48D45A" w:rsidR="00CE2BAE" w:rsidRPr="00E24FB4" w:rsidRDefault="00CE2BAE" w:rsidP="00CE2BAE">
            <w:pPr>
              <w:rPr>
                <w:b/>
                <w:bCs/>
                <w:sz w:val="18"/>
                <w:szCs w:val="18"/>
                <w:lang w:eastAsia="en-IN"/>
              </w:rPr>
            </w:pPr>
            <w:r w:rsidRPr="00E24FB4">
              <w:rPr>
                <w:b/>
                <w:bCs/>
                <w:sz w:val="18"/>
                <w:szCs w:val="18"/>
                <w:lang w:eastAsia="en-IN"/>
              </w:rPr>
              <w:t>FY17</w:t>
            </w:r>
          </w:p>
        </w:tc>
        <w:tc>
          <w:tcPr>
            <w:tcW w:w="648" w:type="dxa"/>
            <w:tcBorders>
              <w:top w:val="single" w:sz="4" w:space="0" w:color="auto"/>
              <w:left w:val="nil"/>
              <w:bottom w:val="single" w:sz="4" w:space="0" w:color="auto"/>
              <w:right w:val="single" w:sz="4" w:space="0" w:color="auto"/>
            </w:tcBorders>
            <w:shd w:val="clear" w:color="auto" w:fill="auto"/>
            <w:hideMark/>
          </w:tcPr>
          <w:p w14:paraId="15BC1426" w14:textId="209366A9" w:rsidR="00CE2BAE" w:rsidRPr="00E24FB4" w:rsidRDefault="00CE2BAE" w:rsidP="00CE2BAE">
            <w:pPr>
              <w:rPr>
                <w:b/>
                <w:bCs/>
                <w:sz w:val="18"/>
                <w:szCs w:val="18"/>
                <w:lang w:eastAsia="en-IN"/>
              </w:rPr>
            </w:pPr>
            <w:r w:rsidRPr="00E24FB4">
              <w:rPr>
                <w:b/>
                <w:bCs/>
                <w:sz w:val="18"/>
                <w:szCs w:val="18"/>
                <w:lang w:eastAsia="en-IN"/>
              </w:rPr>
              <w:t>FY18</w:t>
            </w:r>
          </w:p>
        </w:tc>
        <w:tc>
          <w:tcPr>
            <w:tcW w:w="648" w:type="dxa"/>
            <w:tcBorders>
              <w:top w:val="single" w:sz="4" w:space="0" w:color="auto"/>
              <w:left w:val="nil"/>
              <w:bottom w:val="single" w:sz="4" w:space="0" w:color="auto"/>
              <w:right w:val="single" w:sz="4" w:space="0" w:color="auto"/>
            </w:tcBorders>
            <w:shd w:val="clear" w:color="auto" w:fill="auto"/>
            <w:hideMark/>
          </w:tcPr>
          <w:p w14:paraId="6B5DBCE9" w14:textId="1CFF9FC8" w:rsidR="00CE2BAE" w:rsidRPr="00E24FB4" w:rsidRDefault="00CE2BAE" w:rsidP="00CE2BAE">
            <w:pPr>
              <w:rPr>
                <w:b/>
                <w:bCs/>
                <w:sz w:val="18"/>
                <w:szCs w:val="18"/>
                <w:lang w:eastAsia="en-IN"/>
              </w:rPr>
            </w:pPr>
            <w:r w:rsidRPr="00E24FB4">
              <w:rPr>
                <w:b/>
                <w:bCs/>
                <w:sz w:val="18"/>
                <w:szCs w:val="18"/>
                <w:lang w:eastAsia="en-IN"/>
              </w:rPr>
              <w:t>FY19</w:t>
            </w:r>
          </w:p>
        </w:tc>
      </w:tr>
      <w:tr w:rsidR="00E24FB4" w:rsidRPr="00E24FB4" w14:paraId="0D227839" w14:textId="77777777" w:rsidTr="00CE2BAE">
        <w:trPr>
          <w:trHeight w:val="141"/>
        </w:trPr>
        <w:tc>
          <w:tcPr>
            <w:tcW w:w="2253" w:type="dxa"/>
            <w:tcBorders>
              <w:top w:val="nil"/>
              <w:left w:val="single" w:sz="4" w:space="0" w:color="auto"/>
              <w:bottom w:val="single" w:sz="4" w:space="0" w:color="auto"/>
              <w:right w:val="single" w:sz="4" w:space="0" w:color="auto"/>
            </w:tcBorders>
            <w:shd w:val="clear" w:color="000000" w:fill="FFFFFF"/>
            <w:noWrap/>
            <w:vAlign w:val="center"/>
          </w:tcPr>
          <w:p w14:paraId="7E594A3F" w14:textId="3EC90E5B" w:rsidR="002133E8" w:rsidRPr="00E24FB4" w:rsidRDefault="00416BEF" w:rsidP="002133E8">
            <w:pPr>
              <w:rPr>
                <w:b/>
                <w:bCs/>
                <w:sz w:val="18"/>
                <w:szCs w:val="18"/>
                <w:lang w:eastAsia="en-IN"/>
              </w:rPr>
            </w:pPr>
            <w:r w:rsidRPr="00E24FB4">
              <w:rPr>
                <w:b/>
                <w:bCs/>
                <w:sz w:val="18"/>
                <w:szCs w:val="18"/>
                <w:lang w:eastAsia="en-IN"/>
              </w:rPr>
              <w:t xml:space="preserve">Bharat </w:t>
            </w:r>
            <w:proofErr w:type="spellStart"/>
            <w:r w:rsidRPr="00E24FB4">
              <w:rPr>
                <w:b/>
                <w:bCs/>
                <w:sz w:val="18"/>
                <w:szCs w:val="18"/>
                <w:lang w:eastAsia="en-IN"/>
              </w:rPr>
              <w:t>Rasayan</w:t>
            </w:r>
            <w:proofErr w:type="spellEnd"/>
          </w:p>
        </w:tc>
        <w:tc>
          <w:tcPr>
            <w:tcW w:w="647" w:type="dxa"/>
            <w:tcBorders>
              <w:top w:val="nil"/>
              <w:left w:val="nil"/>
              <w:bottom w:val="single" w:sz="4" w:space="0" w:color="auto"/>
              <w:right w:val="single" w:sz="4" w:space="0" w:color="auto"/>
            </w:tcBorders>
            <w:shd w:val="clear" w:color="000000" w:fill="FFFFFF"/>
            <w:vAlign w:val="center"/>
          </w:tcPr>
          <w:p w14:paraId="42823C50" w14:textId="50B4F8BB" w:rsidR="002133E8" w:rsidRPr="00E24FB4" w:rsidRDefault="002133E8" w:rsidP="002133E8">
            <w:pPr>
              <w:jc w:val="right"/>
              <w:rPr>
                <w:sz w:val="18"/>
                <w:szCs w:val="18"/>
                <w:lang w:eastAsia="en-IN"/>
              </w:rPr>
            </w:pPr>
          </w:p>
        </w:tc>
        <w:tc>
          <w:tcPr>
            <w:tcW w:w="648" w:type="dxa"/>
            <w:tcBorders>
              <w:top w:val="nil"/>
              <w:left w:val="nil"/>
              <w:bottom w:val="single" w:sz="4" w:space="0" w:color="auto"/>
              <w:right w:val="single" w:sz="4" w:space="0" w:color="auto"/>
            </w:tcBorders>
            <w:shd w:val="clear" w:color="000000" w:fill="FFFFFF"/>
            <w:vAlign w:val="center"/>
          </w:tcPr>
          <w:p w14:paraId="1950926C" w14:textId="7DF5907D" w:rsidR="002133E8" w:rsidRPr="00E24FB4" w:rsidRDefault="002133E8" w:rsidP="002133E8">
            <w:pPr>
              <w:jc w:val="right"/>
              <w:rPr>
                <w:sz w:val="18"/>
                <w:szCs w:val="18"/>
                <w:lang w:eastAsia="en-IN"/>
              </w:rPr>
            </w:pPr>
          </w:p>
        </w:tc>
        <w:tc>
          <w:tcPr>
            <w:tcW w:w="648" w:type="dxa"/>
            <w:tcBorders>
              <w:top w:val="nil"/>
              <w:left w:val="nil"/>
              <w:bottom w:val="single" w:sz="4" w:space="0" w:color="auto"/>
              <w:right w:val="single" w:sz="4" w:space="0" w:color="auto"/>
            </w:tcBorders>
            <w:shd w:val="clear" w:color="000000" w:fill="FFFFFF"/>
            <w:vAlign w:val="center"/>
          </w:tcPr>
          <w:p w14:paraId="430DE60B" w14:textId="74947265" w:rsidR="002133E8" w:rsidRPr="00E24FB4" w:rsidRDefault="002133E8" w:rsidP="002133E8">
            <w:pPr>
              <w:jc w:val="right"/>
              <w:rPr>
                <w:sz w:val="18"/>
                <w:szCs w:val="18"/>
                <w:lang w:eastAsia="en-IN"/>
              </w:rPr>
            </w:pPr>
          </w:p>
        </w:tc>
        <w:tc>
          <w:tcPr>
            <w:tcW w:w="647" w:type="dxa"/>
            <w:tcBorders>
              <w:top w:val="nil"/>
              <w:left w:val="nil"/>
              <w:bottom w:val="single" w:sz="4" w:space="0" w:color="auto"/>
              <w:right w:val="single" w:sz="4" w:space="0" w:color="auto"/>
            </w:tcBorders>
            <w:shd w:val="clear" w:color="000000" w:fill="FFFFFF"/>
            <w:vAlign w:val="center"/>
          </w:tcPr>
          <w:p w14:paraId="073EFF4E" w14:textId="7A8C548C" w:rsidR="002133E8" w:rsidRPr="00E24FB4" w:rsidRDefault="002133E8" w:rsidP="002133E8">
            <w:pPr>
              <w:jc w:val="right"/>
              <w:rPr>
                <w:sz w:val="18"/>
                <w:szCs w:val="18"/>
                <w:lang w:eastAsia="en-IN"/>
              </w:rPr>
            </w:pPr>
          </w:p>
        </w:tc>
        <w:tc>
          <w:tcPr>
            <w:tcW w:w="648" w:type="dxa"/>
            <w:tcBorders>
              <w:top w:val="nil"/>
              <w:left w:val="nil"/>
              <w:bottom w:val="single" w:sz="4" w:space="0" w:color="auto"/>
              <w:right w:val="single" w:sz="4" w:space="0" w:color="auto"/>
            </w:tcBorders>
            <w:shd w:val="clear" w:color="000000" w:fill="FFFFFF"/>
            <w:vAlign w:val="center"/>
          </w:tcPr>
          <w:p w14:paraId="16D4F582" w14:textId="1011162C" w:rsidR="002133E8" w:rsidRPr="00E24FB4" w:rsidRDefault="002133E8" w:rsidP="002133E8">
            <w:pPr>
              <w:jc w:val="right"/>
              <w:rPr>
                <w:sz w:val="18"/>
                <w:szCs w:val="18"/>
                <w:lang w:eastAsia="en-IN"/>
              </w:rPr>
            </w:pPr>
          </w:p>
        </w:tc>
        <w:tc>
          <w:tcPr>
            <w:tcW w:w="648" w:type="dxa"/>
            <w:tcBorders>
              <w:top w:val="nil"/>
              <w:left w:val="nil"/>
              <w:bottom w:val="single" w:sz="4" w:space="0" w:color="auto"/>
              <w:right w:val="single" w:sz="4" w:space="0" w:color="auto"/>
            </w:tcBorders>
            <w:shd w:val="clear" w:color="000000" w:fill="FFFFFF"/>
            <w:vAlign w:val="center"/>
          </w:tcPr>
          <w:p w14:paraId="02DB291D" w14:textId="6DBD3E6F" w:rsidR="002133E8" w:rsidRPr="00E24FB4" w:rsidRDefault="002133E8" w:rsidP="002133E8">
            <w:pPr>
              <w:jc w:val="right"/>
              <w:rPr>
                <w:sz w:val="18"/>
                <w:szCs w:val="18"/>
                <w:lang w:eastAsia="en-IN"/>
              </w:rPr>
            </w:pPr>
          </w:p>
        </w:tc>
        <w:tc>
          <w:tcPr>
            <w:tcW w:w="647" w:type="dxa"/>
            <w:tcBorders>
              <w:top w:val="nil"/>
              <w:left w:val="nil"/>
              <w:bottom w:val="single" w:sz="4" w:space="0" w:color="auto"/>
              <w:right w:val="single" w:sz="4" w:space="0" w:color="auto"/>
            </w:tcBorders>
            <w:shd w:val="clear" w:color="000000" w:fill="FFFFFF"/>
            <w:vAlign w:val="center"/>
          </w:tcPr>
          <w:p w14:paraId="2CC4E972" w14:textId="40D95C78" w:rsidR="002133E8" w:rsidRPr="00E24FB4" w:rsidRDefault="002133E8" w:rsidP="002133E8">
            <w:pPr>
              <w:jc w:val="right"/>
              <w:rPr>
                <w:sz w:val="18"/>
                <w:szCs w:val="18"/>
                <w:lang w:eastAsia="en-IN"/>
              </w:rPr>
            </w:pPr>
          </w:p>
        </w:tc>
        <w:tc>
          <w:tcPr>
            <w:tcW w:w="648" w:type="dxa"/>
            <w:tcBorders>
              <w:top w:val="nil"/>
              <w:left w:val="nil"/>
              <w:bottom w:val="single" w:sz="4" w:space="0" w:color="auto"/>
              <w:right w:val="single" w:sz="4" w:space="0" w:color="auto"/>
            </w:tcBorders>
            <w:shd w:val="clear" w:color="000000" w:fill="FFFFFF"/>
            <w:vAlign w:val="center"/>
          </w:tcPr>
          <w:p w14:paraId="193C7ED4" w14:textId="364CF17F" w:rsidR="002133E8" w:rsidRPr="00E24FB4" w:rsidRDefault="002133E8" w:rsidP="002133E8">
            <w:pPr>
              <w:jc w:val="right"/>
              <w:rPr>
                <w:sz w:val="18"/>
                <w:szCs w:val="18"/>
                <w:lang w:eastAsia="en-IN"/>
              </w:rPr>
            </w:pPr>
          </w:p>
        </w:tc>
        <w:tc>
          <w:tcPr>
            <w:tcW w:w="648" w:type="dxa"/>
            <w:tcBorders>
              <w:top w:val="nil"/>
              <w:left w:val="nil"/>
              <w:bottom w:val="single" w:sz="4" w:space="0" w:color="auto"/>
              <w:right w:val="single" w:sz="4" w:space="0" w:color="auto"/>
            </w:tcBorders>
            <w:shd w:val="clear" w:color="000000" w:fill="FFFFFF"/>
            <w:vAlign w:val="center"/>
          </w:tcPr>
          <w:p w14:paraId="40DA4F47" w14:textId="36CECAF5" w:rsidR="002133E8" w:rsidRPr="00E24FB4" w:rsidRDefault="002133E8" w:rsidP="002133E8">
            <w:pPr>
              <w:jc w:val="right"/>
              <w:rPr>
                <w:sz w:val="18"/>
                <w:szCs w:val="18"/>
                <w:lang w:eastAsia="en-IN"/>
              </w:rPr>
            </w:pPr>
          </w:p>
        </w:tc>
        <w:tc>
          <w:tcPr>
            <w:tcW w:w="647" w:type="dxa"/>
            <w:tcBorders>
              <w:top w:val="nil"/>
              <w:left w:val="nil"/>
              <w:bottom w:val="single" w:sz="4" w:space="0" w:color="auto"/>
              <w:right w:val="single" w:sz="4" w:space="0" w:color="auto"/>
            </w:tcBorders>
            <w:shd w:val="clear" w:color="000000" w:fill="FFFFFF"/>
            <w:vAlign w:val="center"/>
          </w:tcPr>
          <w:p w14:paraId="12201C7B" w14:textId="7FDF5BB9" w:rsidR="002133E8" w:rsidRPr="00E24FB4" w:rsidRDefault="002133E8" w:rsidP="002133E8">
            <w:pPr>
              <w:jc w:val="right"/>
              <w:rPr>
                <w:sz w:val="18"/>
                <w:szCs w:val="18"/>
                <w:lang w:eastAsia="en-IN"/>
              </w:rPr>
            </w:pPr>
          </w:p>
        </w:tc>
        <w:tc>
          <w:tcPr>
            <w:tcW w:w="648" w:type="dxa"/>
            <w:tcBorders>
              <w:top w:val="nil"/>
              <w:left w:val="nil"/>
              <w:bottom w:val="single" w:sz="4" w:space="0" w:color="auto"/>
              <w:right w:val="single" w:sz="4" w:space="0" w:color="auto"/>
            </w:tcBorders>
            <w:shd w:val="clear" w:color="000000" w:fill="FFFFFF"/>
            <w:vAlign w:val="center"/>
          </w:tcPr>
          <w:p w14:paraId="74F14B4F" w14:textId="1D87DABE" w:rsidR="002133E8" w:rsidRPr="00E24FB4" w:rsidRDefault="002133E8" w:rsidP="002133E8">
            <w:pPr>
              <w:jc w:val="right"/>
              <w:rPr>
                <w:sz w:val="18"/>
                <w:szCs w:val="18"/>
                <w:lang w:eastAsia="en-IN"/>
              </w:rPr>
            </w:pPr>
          </w:p>
        </w:tc>
        <w:tc>
          <w:tcPr>
            <w:tcW w:w="648" w:type="dxa"/>
            <w:tcBorders>
              <w:top w:val="nil"/>
              <w:left w:val="nil"/>
              <w:bottom w:val="single" w:sz="4" w:space="0" w:color="auto"/>
              <w:right w:val="single" w:sz="4" w:space="0" w:color="auto"/>
            </w:tcBorders>
            <w:shd w:val="clear" w:color="000000" w:fill="FFFFFF"/>
            <w:vAlign w:val="center"/>
          </w:tcPr>
          <w:p w14:paraId="67E3117B" w14:textId="4F702D54" w:rsidR="002133E8" w:rsidRPr="00E24FB4" w:rsidRDefault="002133E8" w:rsidP="002133E8">
            <w:pPr>
              <w:jc w:val="right"/>
              <w:rPr>
                <w:sz w:val="18"/>
                <w:szCs w:val="18"/>
                <w:lang w:eastAsia="en-IN"/>
              </w:rPr>
            </w:pPr>
          </w:p>
        </w:tc>
      </w:tr>
      <w:tr w:rsidR="00E24FB4" w:rsidRPr="00E24FB4" w14:paraId="77508872" w14:textId="77777777" w:rsidTr="00CE2BAE">
        <w:trPr>
          <w:trHeight w:val="125"/>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7E6AE2B1" w14:textId="77777777" w:rsidR="002133E8" w:rsidRPr="00E24FB4" w:rsidRDefault="002133E8" w:rsidP="002133E8">
            <w:pPr>
              <w:rPr>
                <w:sz w:val="18"/>
                <w:szCs w:val="18"/>
                <w:lang w:eastAsia="en-IN"/>
              </w:rPr>
            </w:pPr>
            <w:r w:rsidRPr="00E24FB4">
              <w:rPr>
                <w:sz w:val="18"/>
                <w:szCs w:val="18"/>
                <w:lang w:eastAsia="en-IN"/>
              </w:rPr>
              <w:t>Gross fixed asset turns</w:t>
            </w:r>
          </w:p>
        </w:tc>
        <w:tc>
          <w:tcPr>
            <w:tcW w:w="647" w:type="dxa"/>
            <w:tcBorders>
              <w:top w:val="nil"/>
              <w:left w:val="nil"/>
              <w:bottom w:val="single" w:sz="4" w:space="0" w:color="auto"/>
              <w:right w:val="single" w:sz="4" w:space="0" w:color="auto"/>
            </w:tcBorders>
            <w:shd w:val="clear" w:color="auto" w:fill="auto"/>
            <w:noWrap/>
            <w:vAlign w:val="bottom"/>
            <w:hideMark/>
          </w:tcPr>
          <w:p w14:paraId="6587A526" w14:textId="118CE9B3" w:rsidR="002133E8" w:rsidRPr="00E24FB4" w:rsidRDefault="002133E8" w:rsidP="00416BEF">
            <w:pPr>
              <w:jc w:val="right"/>
              <w:rPr>
                <w:sz w:val="18"/>
                <w:szCs w:val="18"/>
                <w:lang w:eastAsia="en-IN"/>
              </w:rPr>
            </w:pPr>
            <w:r w:rsidRPr="00E24FB4">
              <w:rPr>
                <w:sz w:val="18"/>
                <w:szCs w:val="18"/>
                <w:lang w:eastAsia="en-IN"/>
              </w:rPr>
              <w:t>3.5</w:t>
            </w:r>
          </w:p>
        </w:tc>
        <w:tc>
          <w:tcPr>
            <w:tcW w:w="648" w:type="dxa"/>
            <w:tcBorders>
              <w:top w:val="nil"/>
              <w:left w:val="nil"/>
              <w:bottom w:val="single" w:sz="4" w:space="0" w:color="auto"/>
              <w:right w:val="single" w:sz="4" w:space="0" w:color="auto"/>
            </w:tcBorders>
            <w:shd w:val="clear" w:color="auto" w:fill="auto"/>
            <w:noWrap/>
            <w:vAlign w:val="bottom"/>
            <w:hideMark/>
          </w:tcPr>
          <w:p w14:paraId="1FD77E98" w14:textId="0C17115D" w:rsidR="002133E8" w:rsidRPr="00E24FB4" w:rsidRDefault="002133E8" w:rsidP="00416BEF">
            <w:pPr>
              <w:jc w:val="right"/>
              <w:rPr>
                <w:sz w:val="18"/>
                <w:szCs w:val="18"/>
                <w:lang w:eastAsia="en-IN"/>
              </w:rPr>
            </w:pPr>
            <w:r w:rsidRPr="00E24FB4">
              <w:rPr>
                <w:sz w:val="18"/>
                <w:szCs w:val="18"/>
                <w:lang w:eastAsia="en-IN"/>
              </w:rPr>
              <w:t>5.4</w:t>
            </w:r>
          </w:p>
        </w:tc>
        <w:tc>
          <w:tcPr>
            <w:tcW w:w="648" w:type="dxa"/>
            <w:tcBorders>
              <w:top w:val="nil"/>
              <w:left w:val="nil"/>
              <w:bottom w:val="single" w:sz="4" w:space="0" w:color="auto"/>
              <w:right w:val="single" w:sz="4" w:space="0" w:color="auto"/>
            </w:tcBorders>
            <w:shd w:val="clear" w:color="auto" w:fill="auto"/>
            <w:noWrap/>
            <w:vAlign w:val="bottom"/>
            <w:hideMark/>
          </w:tcPr>
          <w:p w14:paraId="29205441" w14:textId="3A904523" w:rsidR="002133E8" w:rsidRPr="00E24FB4" w:rsidRDefault="002133E8" w:rsidP="00416BEF">
            <w:pPr>
              <w:jc w:val="right"/>
              <w:rPr>
                <w:sz w:val="18"/>
                <w:szCs w:val="18"/>
                <w:lang w:eastAsia="en-IN"/>
              </w:rPr>
            </w:pPr>
            <w:r w:rsidRPr="00E24FB4">
              <w:rPr>
                <w:sz w:val="18"/>
                <w:szCs w:val="18"/>
                <w:lang w:eastAsia="en-IN"/>
              </w:rPr>
              <w:t>5.0</w:t>
            </w:r>
          </w:p>
        </w:tc>
        <w:tc>
          <w:tcPr>
            <w:tcW w:w="647" w:type="dxa"/>
            <w:tcBorders>
              <w:top w:val="nil"/>
              <w:left w:val="nil"/>
              <w:bottom w:val="single" w:sz="4" w:space="0" w:color="auto"/>
              <w:right w:val="single" w:sz="4" w:space="0" w:color="auto"/>
            </w:tcBorders>
            <w:shd w:val="clear" w:color="auto" w:fill="auto"/>
            <w:noWrap/>
            <w:vAlign w:val="bottom"/>
            <w:hideMark/>
          </w:tcPr>
          <w:p w14:paraId="584CFC95" w14:textId="7E2A0B04" w:rsidR="002133E8" w:rsidRPr="00E24FB4" w:rsidRDefault="002133E8" w:rsidP="00416BEF">
            <w:pPr>
              <w:jc w:val="right"/>
              <w:rPr>
                <w:sz w:val="18"/>
                <w:szCs w:val="18"/>
                <w:lang w:eastAsia="en-IN"/>
              </w:rPr>
            </w:pPr>
            <w:r w:rsidRPr="00E24FB4">
              <w:rPr>
                <w:sz w:val="18"/>
                <w:szCs w:val="18"/>
                <w:lang w:eastAsia="en-IN"/>
              </w:rPr>
              <w:t>2.2</w:t>
            </w:r>
          </w:p>
        </w:tc>
        <w:tc>
          <w:tcPr>
            <w:tcW w:w="648" w:type="dxa"/>
            <w:tcBorders>
              <w:top w:val="nil"/>
              <w:left w:val="nil"/>
              <w:bottom w:val="single" w:sz="4" w:space="0" w:color="auto"/>
              <w:right w:val="single" w:sz="4" w:space="0" w:color="auto"/>
            </w:tcBorders>
            <w:shd w:val="clear" w:color="auto" w:fill="auto"/>
            <w:noWrap/>
            <w:vAlign w:val="bottom"/>
            <w:hideMark/>
          </w:tcPr>
          <w:p w14:paraId="1C82B819" w14:textId="0E58635B" w:rsidR="002133E8" w:rsidRPr="00E24FB4" w:rsidRDefault="002133E8" w:rsidP="00416BEF">
            <w:pPr>
              <w:jc w:val="right"/>
              <w:rPr>
                <w:sz w:val="18"/>
                <w:szCs w:val="18"/>
                <w:lang w:eastAsia="en-IN"/>
              </w:rPr>
            </w:pPr>
            <w:r w:rsidRPr="00E24FB4">
              <w:rPr>
                <w:sz w:val="18"/>
                <w:szCs w:val="18"/>
                <w:lang w:eastAsia="en-IN"/>
              </w:rPr>
              <w:t>4.2</w:t>
            </w:r>
          </w:p>
        </w:tc>
        <w:tc>
          <w:tcPr>
            <w:tcW w:w="648" w:type="dxa"/>
            <w:tcBorders>
              <w:top w:val="nil"/>
              <w:left w:val="nil"/>
              <w:bottom w:val="single" w:sz="4" w:space="0" w:color="auto"/>
              <w:right w:val="single" w:sz="4" w:space="0" w:color="auto"/>
            </w:tcBorders>
            <w:shd w:val="clear" w:color="auto" w:fill="auto"/>
            <w:noWrap/>
            <w:vAlign w:val="bottom"/>
            <w:hideMark/>
          </w:tcPr>
          <w:p w14:paraId="5DDD53FF" w14:textId="0B65E5AD" w:rsidR="002133E8" w:rsidRPr="00E24FB4" w:rsidRDefault="002133E8" w:rsidP="00416BEF">
            <w:pPr>
              <w:jc w:val="right"/>
              <w:rPr>
                <w:sz w:val="18"/>
                <w:szCs w:val="18"/>
                <w:lang w:eastAsia="en-IN"/>
              </w:rPr>
            </w:pPr>
            <w:r w:rsidRPr="00E24FB4">
              <w:rPr>
                <w:sz w:val="18"/>
                <w:szCs w:val="18"/>
                <w:lang w:eastAsia="en-IN"/>
              </w:rPr>
              <w:t>1.2</w:t>
            </w:r>
          </w:p>
        </w:tc>
        <w:tc>
          <w:tcPr>
            <w:tcW w:w="647" w:type="dxa"/>
            <w:tcBorders>
              <w:top w:val="nil"/>
              <w:left w:val="nil"/>
              <w:bottom w:val="single" w:sz="4" w:space="0" w:color="auto"/>
              <w:right w:val="single" w:sz="4" w:space="0" w:color="auto"/>
            </w:tcBorders>
            <w:shd w:val="clear" w:color="auto" w:fill="auto"/>
            <w:noWrap/>
            <w:vAlign w:val="bottom"/>
            <w:hideMark/>
          </w:tcPr>
          <w:p w14:paraId="0EEC5154" w14:textId="65CB67DA" w:rsidR="002133E8" w:rsidRPr="00E24FB4" w:rsidRDefault="002133E8" w:rsidP="00416BEF">
            <w:pPr>
              <w:jc w:val="right"/>
              <w:rPr>
                <w:sz w:val="18"/>
                <w:szCs w:val="18"/>
                <w:lang w:eastAsia="en-IN"/>
              </w:rPr>
            </w:pPr>
            <w:r w:rsidRPr="00E24FB4">
              <w:rPr>
                <w:sz w:val="18"/>
                <w:szCs w:val="18"/>
                <w:lang w:eastAsia="en-IN"/>
              </w:rPr>
              <w:t>1.9</w:t>
            </w:r>
          </w:p>
        </w:tc>
        <w:tc>
          <w:tcPr>
            <w:tcW w:w="648" w:type="dxa"/>
            <w:tcBorders>
              <w:top w:val="nil"/>
              <w:left w:val="nil"/>
              <w:bottom w:val="single" w:sz="4" w:space="0" w:color="auto"/>
              <w:right w:val="single" w:sz="4" w:space="0" w:color="auto"/>
            </w:tcBorders>
            <w:shd w:val="clear" w:color="auto" w:fill="auto"/>
            <w:noWrap/>
            <w:vAlign w:val="bottom"/>
            <w:hideMark/>
          </w:tcPr>
          <w:p w14:paraId="1AF8C861" w14:textId="3E392D69" w:rsidR="002133E8" w:rsidRPr="00E24FB4" w:rsidRDefault="002133E8" w:rsidP="00416BEF">
            <w:pPr>
              <w:jc w:val="right"/>
              <w:rPr>
                <w:sz w:val="18"/>
                <w:szCs w:val="18"/>
                <w:lang w:eastAsia="en-IN"/>
              </w:rPr>
            </w:pPr>
            <w:r w:rsidRPr="00E24FB4">
              <w:rPr>
                <w:sz w:val="18"/>
                <w:szCs w:val="18"/>
                <w:lang w:eastAsia="en-IN"/>
              </w:rPr>
              <w:t>2.2</w:t>
            </w:r>
          </w:p>
        </w:tc>
        <w:tc>
          <w:tcPr>
            <w:tcW w:w="648" w:type="dxa"/>
            <w:tcBorders>
              <w:top w:val="nil"/>
              <w:left w:val="nil"/>
              <w:bottom w:val="single" w:sz="4" w:space="0" w:color="auto"/>
              <w:right w:val="single" w:sz="4" w:space="0" w:color="auto"/>
            </w:tcBorders>
            <w:shd w:val="clear" w:color="auto" w:fill="auto"/>
            <w:noWrap/>
            <w:vAlign w:val="bottom"/>
            <w:hideMark/>
          </w:tcPr>
          <w:p w14:paraId="552BE1F1" w14:textId="4503C5D1" w:rsidR="002133E8" w:rsidRPr="00E24FB4" w:rsidRDefault="002133E8" w:rsidP="00416BEF">
            <w:pPr>
              <w:jc w:val="right"/>
              <w:rPr>
                <w:sz w:val="18"/>
                <w:szCs w:val="18"/>
                <w:lang w:eastAsia="en-IN"/>
              </w:rPr>
            </w:pPr>
            <w:r w:rsidRPr="00E24FB4">
              <w:rPr>
                <w:sz w:val="18"/>
                <w:szCs w:val="18"/>
                <w:lang w:eastAsia="en-IN"/>
              </w:rPr>
              <w:t>2.1</w:t>
            </w:r>
          </w:p>
        </w:tc>
        <w:tc>
          <w:tcPr>
            <w:tcW w:w="647" w:type="dxa"/>
            <w:tcBorders>
              <w:top w:val="nil"/>
              <w:left w:val="nil"/>
              <w:bottom w:val="single" w:sz="4" w:space="0" w:color="auto"/>
              <w:right w:val="single" w:sz="4" w:space="0" w:color="auto"/>
            </w:tcBorders>
            <w:shd w:val="clear" w:color="auto" w:fill="auto"/>
            <w:noWrap/>
            <w:vAlign w:val="bottom"/>
            <w:hideMark/>
          </w:tcPr>
          <w:p w14:paraId="0F87B6F1" w14:textId="27A29CB6" w:rsidR="002133E8" w:rsidRPr="00E24FB4" w:rsidRDefault="002133E8" w:rsidP="00416BEF">
            <w:pPr>
              <w:jc w:val="right"/>
              <w:rPr>
                <w:sz w:val="18"/>
                <w:szCs w:val="18"/>
                <w:lang w:eastAsia="en-IN"/>
              </w:rPr>
            </w:pPr>
            <w:r w:rsidRPr="00E24FB4">
              <w:rPr>
                <w:sz w:val="18"/>
                <w:szCs w:val="18"/>
                <w:lang w:eastAsia="en-IN"/>
              </w:rPr>
              <w:t>2.7</w:t>
            </w:r>
          </w:p>
        </w:tc>
        <w:tc>
          <w:tcPr>
            <w:tcW w:w="648" w:type="dxa"/>
            <w:tcBorders>
              <w:top w:val="nil"/>
              <w:left w:val="nil"/>
              <w:bottom w:val="single" w:sz="4" w:space="0" w:color="auto"/>
              <w:right w:val="single" w:sz="4" w:space="0" w:color="auto"/>
            </w:tcBorders>
            <w:shd w:val="clear" w:color="auto" w:fill="auto"/>
            <w:noWrap/>
            <w:vAlign w:val="bottom"/>
            <w:hideMark/>
          </w:tcPr>
          <w:p w14:paraId="6481ED9A" w14:textId="2AB3D0EE" w:rsidR="002133E8" w:rsidRPr="00E24FB4" w:rsidRDefault="002133E8" w:rsidP="00416BEF">
            <w:pPr>
              <w:jc w:val="right"/>
              <w:rPr>
                <w:sz w:val="18"/>
                <w:szCs w:val="18"/>
                <w:lang w:eastAsia="en-IN"/>
              </w:rPr>
            </w:pPr>
            <w:r w:rsidRPr="00E24FB4">
              <w:rPr>
                <w:sz w:val="18"/>
                <w:szCs w:val="18"/>
                <w:lang w:eastAsia="en-IN"/>
              </w:rPr>
              <w:t>3.1</w:t>
            </w:r>
          </w:p>
        </w:tc>
        <w:tc>
          <w:tcPr>
            <w:tcW w:w="648" w:type="dxa"/>
            <w:tcBorders>
              <w:top w:val="nil"/>
              <w:left w:val="nil"/>
              <w:bottom w:val="single" w:sz="4" w:space="0" w:color="auto"/>
              <w:right w:val="single" w:sz="4" w:space="0" w:color="auto"/>
            </w:tcBorders>
            <w:shd w:val="clear" w:color="auto" w:fill="auto"/>
            <w:noWrap/>
            <w:vAlign w:val="bottom"/>
            <w:hideMark/>
          </w:tcPr>
          <w:p w14:paraId="678513AB" w14:textId="5694DBBA" w:rsidR="002133E8" w:rsidRPr="00E24FB4" w:rsidRDefault="002133E8" w:rsidP="00416BEF">
            <w:pPr>
              <w:jc w:val="right"/>
              <w:rPr>
                <w:sz w:val="18"/>
                <w:szCs w:val="18"/>
                <w:lang w:eastAsia="en-IN"/>
              </w:rPr>
            </w:pPr>
            <w:r w:rsidRPr="00E24FB4">
              <w:rPr>
                <w:sz w:val="18"/>
                <w:szCs w:val="18"/>
                <w:lang w:eastAsia="en-IN"/>
              </w:rPr>
              <w:t>3.6</w:t>
            </w:r>
          </w:p>
        </w:tc>
      </w:tr>
      <w:tr w:rsidR="00E24FB4" w:rsidRPr="00E24FB4" w14:paraId="322B2616" w14:textId="77777777" w:rsidTr="00CE2BAE">
        <w:trPr>
          <w:trHeight w:val="169"/>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678F6AE2" w14:textId="77777777" w:rsidR="002133E8" w:rsidRPr="00E24FB4" w:rsidRDefault="002133E8" w:rsidP="002133E8">
            <w:pPr>
              <w:rPr>
                <w:sz w:val="18"/>
                <w:szCs w:val="18"/>
                <w:lang w:eastAsia="en-IN"/>
              </w:rPr>
            </w:pPr>
            <w:r w:rsidRPr="00E24FB4">
              <w:rPr>
                <w:sz w:val="18"/>
                <w:szCs w:val="18"/>
                <w:lang w:eastAsia="en-IN"/>
              </w:rPr>
              <w:t>Net fixed asset turns</w:t>
            </w:r>
          </w:p>
        </w:tc>
        <w:tc>
          <w:tcPr>
            <w:tcW w:w="647" w:type="dxa"/>
            <w:tcBorders>
              <w:top w:val="nil"/>
              <w:left w:val="nil"/>
              <w:bottom w:val="single" w:sz="4" w:space="0" w:color="auto"/>
              <w:right w:val="single" w:sz="4" w:space="0" w:color="auto"/>
            </w:tcBorders>
            <w:shd w:val="clear" w:color="auto" w:fill="auto"/>
            <w:noWrap/>
            <w:vAlign w:val="bottom"/>
            <w:hideMark/>
          </w:tcPr>
          <w:p w14:paraId="0404487B" w14:textId="1AAD4888" w:rsidR="002133E8" w:rsidRPr="00E24FB4" w:rsidRDefault="002133E8" w:rsidP="00416BEF">
            <w:pPr>
              <w:jc w:val="right"/>
              <w:rPr>
                <w:sz w:val="18"/>
                <w:szCs w:val="18"/>
                <w:lang w:eastAsia="en-IN"/>
              </w:rPr>
            </w:pPr>
            <w:r w:rsidRPr="00E24FB4">
              <w:rPr>
                <w:sz w:val="18"/>
                <w:szCs w:val="18"/>
                <w:lang w:eastAsia="en-IN"/>
              </w:rPr>
              <w:t>11.2</w:t>
            </w:r>
          </w:p>
        </w:tc>
        <w:tc>
          <w:tcPr>
            <w:tcW w:w="648" w:type="dxa"/>
            <w:tcBorders>
              <w:top w:val="nil"/>
              <w:left w:val="nil"/>
              <w:bottom w:val="single" w:sz="4" w:space="0" w:color="auto"/>
              <w:right w:val="single" w:sz="4" w:space="0" w:color="auto"/>
            </w:tcBorders>
            <w:shd w:val="clear" w:color="auto" w:fill="auto"/>
            <w:noWrap/>
            <w:vAlign w:val="bottom"/>
            <w:hideMark/>
          </w:tcPr>
          <w:p w14:paraId="335D4B22" w14:textId="35A6E1F8" w:rsidR="002133E8" w:rsidRPr="00E24FB4" w:rsidRDefault="002133E8" w:rsidP="00416BEF">
            <w:pPr>
              <w:jc w:val="right"/>
              <w:rPr>
                <w:sz w:val="18"/>
                <w:szCs w:val="18"/>
                <w:lang w:eastAsia="en-IN"/>
              </w:rPr>
            </w:pPr>
            <w:r w:rsidRPr="00E24FB4">
              <w:rPr>
                <w:sz w:val="18"/>
                <w:szCs w:val="18"/>
                <w:lang w:eastAsia="en-IN"/>
              </w:rPr>
              <w:t>20.6</w:t>
            </w:r>
          </w:p>
        </w:tc>
        <w:tc>
          <w:tcPr>
            <w:tcW w:w="648" w:type="dxa"/>
            <w:tcBorders>
              <w:top w:val="nil"/>
              <w:left w:val="nil"/>
              <w:bottom w:val="single" w:sz="4" w:space="0" w:color="auto"/>
              <w:right w:val="single" w:sz="4" w:space="0" w:color="auto"/>
            </w:tcBorders>
            <w:shd w:val="clear" w:color="auto" w:fill="auto"/>
            <w:noWrap/>
            <w:vAlign w:val="bottom"/>
            <w:hideMark/>
          </w:tcPr>
          <w:p w14:paraId="1D1836E3" w14:textId="25928E0E" w:rsidR="002133E8" w:rsidRPr="00E24FB4" w:rsidRDefault="002133E8" w:rsidP="00416BEF">
            <w:pPr>
              <w:jc w:val="right"/>
              <w:rPr>
                <w:sz w:val="18"/>
                <w:szCs w:val="18"/>
                <w:lang w:eastAsia="en-IN"/>
              </w:rPr>
            </w:pPr>
            <w:r w:rsidRPr="00E24FB4">
              <w:rPr>
                <w:sz w:val="18"/>
                <w:szCs w:val="18"/>
                <w:lang w:eastAsia="en-IN"/>
              </w:rPr>
              <w:t>16.5</w:t>
            </w:r>
          </w:p>
        </w:tc>
        <w:tc>
          <w:tcPr>
            <w:tcW w:w="647" w:type="dxa"/>
            <w:tcBorders>
              <w:top w:val="nil"/>
              <w:left w:val="nil"/>
              <w:bottom w:val="single" w:sz="4" w:space="0" w:color="auto"/>
              <w:right w:val="single" w:sz="4" w:space="0" w:color="auto"/>
            </w:tcBorders>
            <w:shd w:val="clear" w:color="auto" w:fill="auto"/>
            <w:noWrap/>
            <w:vAlign w:val="bottom"/>
            <w:hideMark/>
          </w:tcPr>
          <w:p w14:paraId="44FE6CA5" w14:textId="3997B65B" w:rsidR="002133E8" w:rsidRPr="00E24FB4" w:rsidRDefault="002133E8" w:rsidP="00416BEF">
            <w:pPr>
              <w:jc w:val="right"/>
              <w:rPr>
                <w:sz w:val="18"/>
                <w:szCs w:val="18"/>
                <w:lang w:eastAsia="en-IN"/>
              </w:rPr>
            </w:pPr>
            <w:r w:rsidRPr="00E24FB4">
              <w:rPr>
                <w:sz w:val="18"/>
                <w:szCs w:val="18"/>
                <w:lang w:eastAsia="en-IN"/>
              </w:rPr>
              <w:t>4.7</w:t>
            </w:r>
          </w:p>
        </w:tc>
        <w:tc>
          <w:tcPr>
            <w:tcW w:w="648" w:type="dxa"/>
            <w:tcBorders>
              <w:top w:val="nil"/>
              <w:left w:val="nil"/>
              <w:bottom w:val="single" w:sz="4" w:space="0" w:color="auto"/>
              <w:right w:val="single" w:sz="4" w:space="0" w:color="auto"/>
            </w:tcBorders>
            <w:shd w:val="clear" w:color="auto" w:fill="auto"/>
            <w:noWrap/>
            <w:vAlign w:val="bottom"/>
            <w:hideMark/>
          </w:tcPr>
          <w:p w14:paraId="6F9AC909" w14:textId="2319C4C3" w:rsidR="002133E8" w:rsidRPr="00E24FB4" w:rsidRDefault="002133E8" w:rsidP="00416BEF">
            <w:pPr>
              <w:jc w:val="right"/>
              <w:rPr>
                <w:sz w:val="18"/>
                <w:szCs w:val="18"/>
                <w:lang w:eastAsia="en-IN"/>
              </w:rPr>
            </w:pPr>
            <w:r w:rsidRPr="00E24FB4">
              <w:rPr>
                <w:sz w:val="18"/>
                <w:szCs w:val="18"/>
                <w:lang w:eastAsia="en-IN"/>
              </w:rPr>
              <w:t>8.9</w:t>
            </w:r>
          </w:p>
        </w:tc>
        <w:tc>
          <w:tcPr>
            <w:tcW w:w="648" w:type="dxa"/>
            <w:tcBorders>
              <w:top w:val="nil"/>
              <w:left w:val="nil"/>
              <w:bottom w:val="single" w:sz="4" w:space="0" w:color="auto"/>
              <w:right w:val="single" w:sz="4" w:space="0" w:color="auto"/>
            </w:tcBorders>
            <w:shd w:val="clear" w:color="auto" w:fill="auto"/>
            <w:noWrap/>
            <w:vAlign w:val="bottom"/>
            <w:hideMark/>
          </w:tcPr>
          <w:p w14:paraId="201F48F8" w14:textId="55954634" w:rsidR="002133E8" w:rsidRPr="00E24FB4" w:rsidRDefault="002133E8" w:rsidP="00416BEF">
            <w:pPr>
              <w:jc w:val="right"/>
              <w:rPr>
                <w:sz w:val="18"/>
                <w:szCs w:val="18"/>
                <w:lang w:eastAsia="en-IN"/>
              </w:rPr>
            </w:pPr>
            <w:r w:rsidRPr="00E24FB4">
              <w:rPr>
                <w:sz w:val="18"/>
                <w:szCs w:val="18"/>
                <w:lang w:eastAsia="en-IN"/>
              </w:rPr>
              <w:t>1.4</w:t>
            </w:r>
          </w:p>
        </w:tc>
        <w:tc>
          <w:tcPr>
            <w:tcW w:w="647" w:type="dxa"/>
            <w:tcBorders>
              <w:top w:val="nil"/>
              <w:left w:val="nil"/>
              <w:bottom w:val="single" w:sz="4" w:space="0" w:color="auto"/>
              <w:right w:val="single" w:sz="4" w:space="0" w:color="auto"/>
            </w:tcBorders>
            <w:shd w:val="clear" w:color="auto" w:fill="auto"/>
            <w:noWrap/>
            <w:vAlign w:val="bottom"/>
            <w:hideMark/>
          </w:tcPr>
          <w:p w14:paraId="6B3F1EBE" w14:textId="76A0D31D" w:rsidR="002133E8" w:rsidRPr="00E24FB4" w:rsidRDefault="002133E8" w:rsidP="00416BEF">
            <w:pPr>
              <w:jc w:val="right"/>
              <w:rPr>
                <w:sz w:val="18"/>
                <w:szCs w:val="18"/>
                <w:lang w:eastAsia="en-IN"/>
              </w:rPr>
            </w:pPr>
            <w:r w:rsidRPr="00E24FB4">
              <w:rPr>
                <w:sz w:val="18"/>
                <w:szCs w:val="18"/>
                <w:lang w:eastAsia="en-IN"/>
              </w:rPr>
              <w:t>2.5</w:t>
            </w:r>
          </w:p>
        </w:tc>
        <w:tc>
          <w:tcPr>
            <w:tcW w:w="648" w:type="dxa"/>
            <w:tcBorders>
              <w:top w:val="nil"/>
              <w:left w:val="nil"/>
              <w:bottom w:val="single" w:sz="4" w:space="0" w:color="auto"/>
              <w:right w:val="single" w:sz="4" w:space="0" w:color="auto"/>
            </w:tcBorders>
            <w:shd w:val="clear" w:color="auto" w:fill="auto"/>
            <w:noWrap/>
            <w:vAlign w:val="bottom"/>
            <w:hideMark/>
          </w:tcPr>
          <w:p w14:paraId="6F8B5841" w14:textId="5D1D4F7F" w:rsidR="002133E8" w:rsidRPr="00E24FB4" w:rsidRDefault="002133E8" w:rsidP="00416BEF">
            <w:pPr>
              <w:jc w:val="right"/>
              <w:rPr>
                <w:sz w:val="18"/>
                <w:szCs w:val="18"/>
                <w:lang w:eastAsia="en-IN"/>
              </w:rPr>
            </w:pPr>
            <w:r w:rsidRPr="00E24FB4">
              <w:rPr>
                <w:sz w:val="18"/>
                <w:szCs w:val="18"/>
                <w:lang w:eastAsia="en-IN"/>
              </w:rPr>
              <w:t>3.2</w:t>
            </w:r>
          </w:p>
        </w:tc>
        <w:tc>
          <w:tcPr>
            <w:tcW w:w="648" w:type="dxa"/>
            <w:tcBorders>
              <w:top w:val="nil"/>
              <w:left w:val="nil"/>
              <w:bottom w:val="single" w:sz="4" w:space="0" w:color="auto"/>
              <w:right w:val="single" w:sz="4" w:space="0" w:color="auto"/>
            </w:tcBorders>
            <w:shd w:val="clear" w:color="auto" w:fill="auto"/>
            <w:noWrap/>
            <w:vAlign w:val="bottom"/>
            <w:hideMark/>
          </w:tcPr>
          <w:p w14:paraId="4FC5B1EB" w14:textId="49A6DB69" w:rsidR="002133E8" w:rsidRPr="00E24FB4" w:rsidRDefault="002133E8" w:rsidP="00416BEF">
            <w:pPr>
              <w:jc w:val="right"/>
              <w:rPr>
                <w:sz w:val="18"/>
                <w:szCs w:val="18"/>
                <w:lang w:eastAsia="en-IN"/>
              </w:rPr>
            </w:pPr>
            <w:r w:rsidRPr="00E24FB4">
              <w:rPr>
                <w:sz w:val="18"/>
                <w:szCs w:val="18"/>
                <w:lang w:eastAsia="en-IN"/>
              </w:rPr>
              <w:t>3.3</w:t>
            </w:r>
          </w:p>
        </w:tc>
        <w:tc>
          <w:tcPr>
            <w:tcW w:w="647" w:type="dxa"/>
            <w:tcBorders>
              <w:top w:val="nil"/>
              <w:left w:val="nil"/>
              <w:bottom w:val="single" w:sz="4" w:space="0" w:color="auto"/>
              <w:right w:val="single" w:sz="4" w:space="0" w:color="auto"/>
            </w:tcBorders>
            <w:shd w:val="clear" w:color="auto" w:fill="auto"/>
            <w:noWrap/>
            <w:vAlign w:val="bottom"/>
            <w:hideMark/>
          </w:tcPr>
          <w:p w14:paraId="6E476B65" w14:textId="211B0623" w:rsidR="002133E8" w:rsidRPr="00E24FB4" w:rsidRDefault="002133E8" w:rsidP="00416BEF">
            <w:pPr>
              <w:jc w:val="right"/>
              <w:rPr>
                <w:sz w:val="18"/>
                <w:szCs w:val="18"/>
                <w:lang w:eastAsia="en-IN"/>
              </w:rPr>
            </w:pPr>
            <w:r w:rsidRPr="00E24FB4">
              <w:rPr>
                <w:sz w:val="18"/>
                <w:szCs w:val="18"/>
                <w:lang w:eastAsia="en-IN"/>
              </w:rPr>
              <w:t>4.7</w:t>
            </w:r>
          </w:p>
        </w:tc>
        <w:tc>
          <w:tcPr>
            <w:tcW w:w="648" w:type="dxa"/>
            <w:tcBorders>
              <w:top w:val="nil"/>
              <w:left w:val="nil"/>
              <w:bottom w:val="single" w:sz="4" w:space="0" w:color="auto"/>
              <w:right w:val="single" w:sz="4" w:space="0" w:color="auto"/>
            </w:tcBorders>
            <w:shd w:val="clear" w:color="auto" w:fill="auto"/>
            <w:noWrap/>
            <w:vAlign w:val="bottom"/>
            <w:hideMark/>
          </w:tcPr>
          <w:p w14:paraId="44EFF887" w14:textId="35D5F6C9" w:rsidR="002133E8" w:rsidRPr="00E24FB4" w:rsidRDefault="002133E8" w:rsidP="00416BEF">
            <w:pPr>
              <w:jc w:val="right"/>
              <w:rPr>
                <w:sz w:val="18"/>
                <w:szCs w:val="18"/>
                <w:lang w:eastAsia="en-IN"/>
              </w:rPr>
            </w:pPr>
            <w:r w:rsidRPr="00E24FB4">
              <w:rPr>
                <w:sz w:val="18"/>
                <w:szCs w:val="18"/>
                <w:lang w:eastAsia="en-IN"/>
              </w:rPr>
              <w:t>5.4</w:t>
            </w:r>
          </w:p>
        </w:tc>
        <w:tc>
          <w:tcPr>
            <w:tcW w:w="648" w:type="dxa"/>
            <w:tcBorders>
              <w:top w:val="nil"/>
              <w:left w:val="nil"/>
              <w:bottom w:val="single" w:sz="4" w:space="0" w:color="auto"/>
              <w:right w:val="single" w:sz="4" w:space="0" w:color="auto"/>
            </w:tcBorders>
            <w:shd w:val="clear" w:color="auto" w:fill="auto"/>
            <w:noWrap/>
            <w:vAlign w:val="bottom"/>
            <w:hideMark/>
          </w:tcPr>
          <w:p w14:paraId="451E302E" w14:textId="4B57CE76" w:rsidR="002133E8" w:rsidRPr="00E24FB4" w:rsidRDefault="002133E8" w:rsidP="00416BEF">
            <w:pPr>
              <w:jc w:val="right"/>
              <w:rPr>
                <w:sz w:val="18"/>
                <w:szCs w:val="18"/>
                <w:lang w:eastAsia="en-IN"/>
              </w:rPr>
            </w:pPr>
            <w:r w:rsidRPr="00E24FB4">
              <w:rPr>
                <w:sz w:val="18"/>
                <w:szCs w:val="18"/>
                <w:lang w:eastAsia="en-IN"/>
              </w:rPr>
              <w:t>6.6</w:t>
            </w:r>
          </w:p>
        </w:tc>
      </w:tr>
      <w:tr w:rsidR="00E24FB4" w:rsidRPr="00E24FB4" w14:paraId="2A5C9AAC" w14:textId="77777777" w:rsidTr="00CE2BAE">
        <w:trPr>
          <w:trHeight w:val="230"/>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3C60D782" w14:textId="77777777" w:rsidR="002133E8" w:rsidRPr="00E24FB4" w:rsidRDefault="002133E8" w:rsidP="002133E8">
            <w:pPr>
              <w:rPr>
                <w:b/>
                <w:bCs/>
                <w:sz w:val="18"/>
                <w:szCs w:val="18"/>
                <w:lang w:eastAsia="en-IN"/>
              </w:rPr>
            </w:pPr>
            <w:r w:rsidRPr="00E24FB4">
              <w:rPr>
                <w:b/>
                <w:bCs/>
                <w:sz w:val="18"/>
                <w:szCs w:val="18"/>
                <w:lang w:eastAsia="en-IN"/>
              </w:rPr>
              <w:t>PI Industries</w:t>
            </w:r>
          </w:p>
        </w:tc>
        <w:tc>
          <w:tcPr>
            <w:tcW w:w="647" w:type="dxa"/>
            <w:tcBorders>
              <w:top w:val="nil"/>
              <w:left w:val="nil"/>
              <w:bottom w:val="single" w:sz="4" w:space="0" w:color="auto"/>
              <w:right w:val="single" w:sz="4" w:space="0" w:color="auto"/>
            </w:tcBorders>
            <w:shd w:val="clear" w:color="auto" w:fill="auto"/>
            <w:noWrap/>
            <w:vAlign w:val="bottom"/>
            <w:hideMark/>
          </w:tcPr>
          <w:p w14:paraId="6A3874EF" w14:textId="02986D52" w:rsidR="002133E8" w:rsidRPr="00E24FB4" w:rsidRDefault="002133E8" w:rsidP="00416BEF">
            <w:pPr>
              <w:jc w:val="right"/>
              <w:rPr>
                <w:sz w:val="18"/>
                <w:szCs w:val="18"/>
                <w:lang w:eastAsia="en-IN"/>
              </w:rPr>
            </w:pPr>
          </w:p>
        </w:tc>
        <w:tc>
          <w:tcPr>
            <w:tcW w:w="648" w:type="dxa"/>
            <w:tcBorders>
              <w:top w:val="nil"/>
              <w:left w:val="nil"/>
              <w:bottom w:val="single" w:sz="4" w:space="0" w:color="auto"/>
              <w:right w:val="single" w:sz="4" w:space="0" w:color="auto"/>
            </w:tcBorders>
            <w:shd w:val="clear" w:color="auto" w:fill="auto"/>
            <w:noWrap/>
            <w:vAlign w:val="bottom"/>
            <w:hideMark/>
          </w:tcPr>
          <w:p w14:paraId="12EAE572" w14:textId="2CA69E35" w:rsidR="002133E8" w:rsidRPr="00E24FB4" w:rsidRDefault="002133E8" w:rsidP="00416BEF">
            <w:pPr>
              <w:jc w:val="right"/>
              <w:rPr>
                <w:sz w:val="18"/>
                <w:szCs w:val="18"/>
                <w:lang w:eastAsia="en-IN"/>
              </w:rPr>
            </w:pPr>
          </w:p>
        </w:tc>
        <w:tc>
          <w:tcPr>
            <w:tcW w:w="648" w:type="dxa"/>
            <w:tcBorders>
              <w:top w:val="nil"/>
              <w:left w:val="nil"/>
              <w:bottom w:val="single" w:sz="4" w:space="0" w:color="auto"/>
              <w:right w:val="single" w:sz="4" w:space="0" w:color="auto"/>
            </w:tcBorders>
            <w:shd w:val="clear" w:color="auto" w:fill="auto"/>
            <w:noWrap/>
            <w:vAlign w:val="bottom"/>
            <w:hideMark/>
          </w:tcPr>
          <w:p w14:paraId="5870FA1D" w14:textId="0F1032AC" w:rsidR="002133E8" w:rsidRPr="00E24FB4" w:rsidRDefault="002133E8" w:rsidP="00416BEF">
            <w:pPr>
              <w:jc w:val="right"/>
              <w:rPr>
                <w:sz w:val="18"/>
                <w:szCs w:val="18"/>
                <w:lang w:eastAsia="en-IN"/>
              </w:rPr>
            </w:pPr>
          </w:p>
        </w:tc>
        <w:tc>
          <w:tcPr>
            <w:tcW w:w="647" w:type="dxa"/>
            <w:tcBorders>
              <w:top w:val="nil"/>
              <w:left w:val="nil"/>
              <w:bottom w:val="single" w:sz="4" w:space="0" w:color="auto"/>
              <w:right w:val="single" w:sz="4" w:space="0" w:color="auto"/>
            </w:tcBorders>
            <w:shd w:val="clear" w:color="auto" w:fill="auto"/>
            <w:noWrap/>
            <w:vAlign w:val="bottom"/>
            <w:hideMark/>
          </w:tcPr>
          <w:p w14:paraId="0138111E" w14:textId="7B74ABAD" w:rsidR="002133E8" w:rsidRPr="00E24FB4" w:rsidRDefault="002133E8" w:rsidP="00416BEF">
            <w:pPr>
              <w:jc w:val="right"/>
              <w:rPr>
                <w:sz w:val="18"/>
                <w:szCs w:val="18"/>
                <w:lang w:eastAsia="en-IN"/>
              </w:rPr>
            </w:pPr>
          </w:p>
        </w:tc>
        <w:tc>
          <w:tcPr>
            <w:tcW w:w="648" w:type="dxa"/>
            <w:tcBorders>
              <w:top w:val="nil"/>
              <w:left w:val="nil"/>
              <w:bottom w:val="single" w:sz="4" w:space="0" w:color="auto"/>
              <w:right w:val="single" w:sz="4" w:space="0" w:color="auto"/>
            </w:tcBorders>
            <w:shd w:val="clear" w:color="auto" w:fill="auto"/>
            <w:noWrap/>
            <w:vAlign w:val="bottom"/>
            <w:hideMark/>
          </w:tcPr>
          <w:p w14:paraId="5EF5528F" w14:textId="45EAF8B8" w:rsidR="002133E8" w:rsidRPr="00E24FB4" w:rsidRDefault="002133E8" w:rsidP="00416BEF">
            <w:pPr>
              <w:jc w:val="right"/>
              <w:rPr>
                <w:sz w:val="18"/>
                <w:szCs w:val="18"/>
                <w:lang w:eastAsia="en-IN"/>
              </w:rPr>
            </w:pPr>
          </w:p>
        </w:tc>
        <w:tc>
          <w:tcPr>
            <w:tcW w:w="648" w:type="dxa"/>
            <w:tcBorders>
              <w:top w:val="nil"/>
              <w:left w:val="nil"/>
              <w:bottom w:val="single" w:sz="4" w:space="0" w:color="auto"/>
              <w:right w:val="single" w:sz="4" w:space="0" w:color="auto"/>
            </w:tcBorders>
            <w:shd w:val="clear" w:color="auto" w:fill="auto"/>
            <w:noWrap/>
            <w:vAlign w:val="bottom"/>
            <w:hideMark/>
          </w:tcPr>
          <w:p w14:paraId="046D2DAB" w14:textId="625481D5" w:rsidR="002133E8" w:rsidRPr="00E24FB4" w:rsidRDefault="002133E8" w:rsidP="00416BEF">
            <w:pPr>
              <w:jc w:val="right"/>
              <w:rPr>
                <w:sz w:val="18"/>
                <w:szCs w:val="18"/>
                <w:lang w:eastAsia="en-IN"/>
              </w:rPr>
            </w:pPr>
          </w:p>
        </w:tc>
        <w:tc>
          <w:tcPr>
            <w:tcW w:w="647" w:type="dxa"/>
            <w:tcBorders>
              <w:top w:val="nil"/>
              <w:left w:val="nil"/>
              <w:bottom w:val="single" w:sz="4" w:space="0" w:color="auto"/>
              <w:right w:val="single" w:sz="4" w:space="0" w:color="auto"/>
            </w:tcBorders>
            <w:shd w:val="clear" w:color="auto" w:fill="auto"/>
            <w:noWrap/>
            <w:vAlign w:val="bottom"/>
            <w:hideMark/>
          </w:tcPr>
          <w:p w14:paraId="6B7D9F68" w14:textId="5F05C429" w:rsidR="002133E8" w:rsidRPr="00E24FB4" w:rsidRDefault="002133E8" w:rsidP="00416BEF">
            <w:pPr>
              <w:jc w:val="right"/>
              <w:rPr>
                <w:sz w:val="18"/>
                <w:szCs w:val="18"/>
                <w:lang w:eastAsia="en-IN"/>
              </w:rPr>
            </w:pPr>
          </w:p>
        </w:tc>
        <w:tc>
          <w:tcPr>
            <w:tcW w:w="648" w:type="dxa"/>
            <w:tcBorders>
              <w:top w:val="nil"/>
              <w:left w:val="nil"/>
              <w:bottom w:val="single" w:sz="4" w:space="0" w:color="auto"/>
              <w:right w:val="single" w:sz="4" w:space="0" w:color="auto"/>
            </w:tcBorders>
            <w:shd w:val="clear" w:color="auto" w:fill="auto"/>
            <w:noWrap/>
            <w:vAlign w:val="bottom"/>
            <w:hideMark/>
          </w:tcPr>
          <w:p w14:paraId="4D595204" w14:textId="7B43356D" w:rsidR="002133E8" w:rsidRPr="00E24FB4" w:rsidRDefault="002133E8" w:rsidP="00416BEF">
            <w:pPr>
              <w:jc w:val="right"/>
              <w:rPr>
                <w:sz w:val="18"/>
                <w:szCs w:val="18"/>
                <w:lang w:eastAsia="en-IN"/>
              </w:rPr>
            </w:pPr>
          </w:p>
        </w:tc>
        <w:tc>
          <w:tcPr>
            <w:tcW w:w="648" w:type="dxa"/>
            <w:tcBorders>
              <w:top w:val="nil"/>
              <w:left w:val="nil"/>
              <w:bottom w:val="single" w:sz="4" w:space="0" w:color="auto"/>
              <w:right w:val="single" w:sz="4" w:space="0" w:color="auto"/>
            </w:tcBorders>
            <w:shd w:val="clear" w:color="auto" w:fill="auto"/>
            <w:noWrap/>
            <w:vAlign w:val="bottom"/>
            <w:hideMark/>
          </w:tcPr>
          <w:p w14:paraId="76AC3965" w14:textId="5C65A350" w:rsidR="002133E8" w:rsidRPr="00E24FB4" w:rsidRDefault="002133E8" w:rsidP="00416BEF">
            <w:pPr>
              <w:jc w:val="right"/>
              <w:rPr>
                <w:sz w:val="18"/>
                <w:szCs w:val="18"/>
                <w:lang w:eastAsia="en-IN"/>
              </w:rPr>
            </w:pPr>
          </w:p>
        </w:tc>
        <w:tc>
          <w:tcPr>
            <w:tcW w:w="647" w:type="dxa"/>
            <w:tcBorders>
              <w:top w:val="nil"/>
              <w:left w:val="nil"/>
              <w:bottom w:val="single" w:sz="4" w:space="0" w:color="auto"/>
              <w:right w:val="single" w:sz="4" w:space="0" w:color="auto"/>
            </w:tcBorders>
            <w:shd w:val="clear" w:color="auto" w:fill="auto"/>
            <w:noWrap/>
            <w:vAlign w:val="bottom"/>
            <w:hideMark/>
          </w:tcPr>
          <w:p w14:paraId="4822BEA5" w14:textId="423712B2" w:rsidR="002133E8" w:rsidRPr="00E24FB4" w:rsidRDefault="002133E8" w:rsidP="00416BEF">
            <w:pPr>
              <w:jc w:val="right"/>
              <w:rPr>
                <w:sz w:val="18"/>
                <w:szCs w:val="18"/>
                <w:lang w:eastAsia="en-IN"/>
              </w:rPr>
            </w:pPr>
          </w:p>
        </w:tc>
        <w:tc>
          <w:tcPr>
            <w:tcW w:w="648" w:type="dxa"/>
            <w:tcBorders>
              <w:top w:val="nil"/>
              <w:left w:val="nil"/>
              <w:bottom w:val="single" w:sz="4" w:space="0" w:color="auto"/>
              <w:right w:val="single" w:sz="4" w:space="0" w:color="auto"/>
            </w:tcBorders>
            <w:shd w:val="clear" w:color="auto" w:fill="auto"/>
            <w:noWrap/>
            <w:vAlign w:val="bottom"/>
            <w:hideMark/>
          </w:tcPr>
          <w:p w14:paraId="77F88998" w14:textId="55D52050" w:rsidR="002133E8" w:rsidRPr="00E24FB4" w:rsidRDefault="002133E8" w:rsidP="00416BEF">
            <w:pPr>
              <w:jc w:val="right"/>
              <w:rPr>
                <w:sz w:val="18"/>
                <w:szCs w:val="18"/>
                <w:lang w:eastAsia="en-IN"/>
              </w:rPr>
            </w:pPr>
          </w:p>
        </w:tc>
        <w:tc>
          <w:tcPr>
            <w:tcW w:w="648" w:type="dxa"/>
            <w:tcBorders>
              <w:top w:val="nil"/>
              <w:left w:val="nil"/>
              <w:bottom w:val="single" w:sz="4" w:space="0" w:color="auto"/>
              <w:right w:val="single" w:sz="4" w:space="0" w:color="auto"/>
            </w:tcBorders>
            <w:shd w:val="clear" w:color="auto" w:fill="auto"/>
            <w:noWrap/>
            <w:vAlign w:val="bottom"/>
            <w:hideMark/>
          </w:tcPr>
          <w:p w14:paraId="14C37B44" w14:textId="6C457B3F" w:rsidR="002133E8" w:rsidRPr="00E24FB4" w:rsidRDefault="002133E8" w:rsidP="00416BEF">
            <w:pPr>
              <w:jc w:val="right"/>
              <w:rPr>
                <w:sz w:val="18"/>
                <w:szCs w:val="18"/>
                <w:lang w:eastAsia="en-IN"/>
              </w:rPr>
            </w:pPr>
          </w:p>
        </w:tc>
      </w:tr>
      <w:tr w:rsidR="00E24FB4" w:rsidRPr="00E24FB4" w14:paraId="382F7D07" w14:textId="77777777" w:rsidTr="00CE2BAE">
        <w:trPr>
          <w:trHeight w:val="133"/>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704AF233" w14:textId="77777777" w:rsidR="002133E8" w:rsidRPr="00E24FB4" w:rsidRDefault="002133E8" w:rsidP="002133E8">
            <w:pPr>
              <w:rPr>
                <w:sz w:val="18"/>
                <w:szCs w:val="18"/>
                <w:lang w:eastAsia="en-IN"/>
              </w:rPr>
            </w:pPr>
            <w:r w:rsidRPr="00E24FB4">
              <w:rPr>
                <w:sz w:val="18"/>
                <w:szCs w:val="18"/>
                <w:lang w:eastAsia="en-IN"/>
              </w:rPr>
              <w:t>Gross fixed asset turns</w:t>
            </w:r>
          </w:p>
        </w:tc>
        <w:tc>
          <w:tcPr>
            <w:tcW w:w="647" w:type="dxa"/>
            <w:tcBorders>
              <w:top w:val="nil"/>
              <w:left w:val="nil"/>
              <w:bottom w:val="single" w:sz="4" w:space="0" w:color="auto"/>
              <w:right w:val="single" w:sz="4" w:space="0" w:color="auto"/>
            </w:tcBorders>
            <w:shd w:val="clear" w:color="auto" w:fill="auto"/>
            <w:noWrap/>
            <w:vAlign w:val="bottom"/>
            <w:hideMark/>
          </w:tcPr>
          <w:p w14:paraId="063A8272" w14:textId="69F9BE85" w:rsidR="002133E8" w:rsidRPr="00E24FB4" w:rsidRDefault="002133E8" w:rsidP="00416BEF">
            <w:pPr>
              <w:jc w:val="right"/>
              <w:rPr>
                <w:sz w:val="18"/>
                <w:szCs w:val="18"/>
                <w:lang w:eastAsia="en-IN"/>
              </w:rPr>
            </w:pPr>
            <w:r w:rsidRPr="00E24FB4">
              <w:rPr>
                <w:sz w:val="18"/>
                <w:szCs w:val="18"/>
                <w:lang w:eastAsia="en-IN"/>
              </w:rPr>
              <w:t>1.6</w:t>
            </w:r>
          </w:p>
        </w:tc>
        <w:tc>
          <w:tcPr>
            <w:tcW w:w="648" w:type="dxa"/>
            <w:tcBorders>
              <w:top w:val="nil"/>
              <w:left w:val="nil"/>
              <w:bottom w:val="single" w:sz="4" w:space="0" w:color="auto"/>
              <w:right w:val="single" w:sz="4" w:space="0" w:color="auto"/>
            </w:tcBorders>
            <w:shd w:val="clear" w:color="auto" w:fill="auto"/>
            <w:noWrap/>
            <w:vAlign w:val="bottom"/>
            <w:hideMark/>
          </w:tcPr>
          <w:p w14:paraId="0DAB02E5" w14:textId="54228211" w:rsidR="002133E8" w:rsidRPr="00E24FB4" w:rsidRDefault="002133E8" w:rsidP="00416BEF">
            <w:pPr>
              <w:jc w:val="right"/>
              <w:rPr>
                <w:sz w:val="18"/>
                <w:szCs w:val="18"/>
                <w:lang w:eastAsia="en-IN"/>
              </w:rPr>
            </w:pPr>
            <w:r w:rsidRPr="00E24FB4">
              <w:rPr>
                <w:sz w:val="18"/>
                <w:szCs w:val="18"/>
                <w:lang w:eastAsia="en-IN"/>
              </w:rPr>
              <w:t>1.8</w:t>
            </w:r>
          </w:p>
        </w:tc>
        <w:tc>
          <w:tcPr>
            <w:tcW w:w="648" w:type="dxa"/>
            <w:tcBorders>
              <w:top w:val="nil"/>
              <w:left w:val="nil"/>
              <w:bottom w:val="single" w:sz="4" w:space="0" w:color="auto"/>
              <w:right w:val="single" w:sz="4" w:space="0" w:color="auto"/>
            </w:tcBorders>
            <w:shd w:val="clear" w:color="auto" w:fill="auto"/>
            <w:noWrap/>
            <w:vAlign w:val="bottom"/>
            <w:hideMark/>
          </w:tcPr>
          <w:p w14:paraId="749AB67F" w14:textId="3992F26A" w:rsidR="002133E8" w:rsidRPr="00E24FB4" w:rsidRDefault="002133E8" w:rsidP="00416BEF">
            <w:pPr>
              <w:jc w:val="right"/>
              <w:rPr>
                <w:sz w:val="18"/>
                <w:szCs w:val="18"/>
                <w:lang w:eastAsia="en-IN"/>
              </w:rPr>
            </w:pPr>
            <w:r w:rsidRPr="00E24FB4">
              <w:rPr>
                <w:sz w:val="18"/>
                <w:szCs w:val="18"/>
                <w:lang w:eastAsia="en-IN"/>
              </w:rPr>
              <w:t>1.9</w:t>
            </w:r>
          </w:p>
        </w:tc>
        <w:tc>
          <w:tcPr>
            <w:tcW w:w="647" w:type="dxa"/>
            <w:tcBorders>
              <w:top w:val="nil"/>
              <w:left w:val="nil"/>
              <w:bottom w:val="single" w:sz="4" w:space="0" w:color="auto"/>
              <w:right w:val="single" w:sz="4" w:space="0" w:color="auto"/>
            </w:tcBorders>
            <w:shd w:val="clear" w:color="auto" w:fill="auto"/>
            <w:noWrap/>
            <w:vAlign w:val="bottom"/>
            <w:hideMark/>
          </w:tcPr>
          <w:p w14:paraId="6E5825E3" w14:textId="40F346D4" w:rsidR="002133E8" w:rsidRPr="00E24FB4" w:rsidRDefault="002133E8" w:rsidP="00416BEF">
            <w:pPr>
              <w:jc w:val="right"/>
              <w:rPr>
                <w:sz w:val="18"/>
                <w:szCs w:val="18"/>
                <w:lang w:eastAsia="en-IN"/>
              </w:rPr>
            </w:pPr>
            <w:r w:rsidRPr="00E24FB4">
              <w:rPr>
                <w:sz w:val="18"/>
                <w:szCs w:val="18"/>
                <w:lang w:eastAsia="en-IN"/>
              </w:rPr>
              <w:t>2.0</w:t>
            </w:r>
          </w:p>
        </w:tc>
        <w:tc>
          <w:tcPr>
            <w:tcW w:w="648" w:type="dxa"/>
            <w:tcBorders>
              <w:top w:val="nil"/>
              <w:left w:val="nil"/>
              <w:bottom w:val="single" w:sz="4" w:space="0" w:color="auto"/>
              <w:right w:val="single" w:sz="4" w:space="0" w:color="auto"/>
            </w:tcBorders>
            <w:shd w:val="clear" w:color="auto" w:fill="auto"/>
            <w:noWrap/>
            <w:vAlign w:val="bottom"/>
            <w:hideMark/>
          </w:tcPr>
          <w:p w14:paraId="46B26A21" w14:textId="182E8199" w:rsidR="002133E8" w:rsidRPr="00E24FB4" w:rsidRDefault="002133E8" w:rsidP="00416BEF">
            <w:pPr>
              <w:jc w:val="right"/>
              <w:rPr>
                <w:sz w:val="18"/>
                <w:szCs w:val="18"/>
                <w:lang w:eastAsia="en-IN"/>
              </w:rPr>
            </w:pPr>
            <w:r w:rsidRPr="00E24FB4">
              <w:rPr>
                <w:sz w:val="18"/>
                <w:szCs w:val="18"/>
                <w:lang w:eastAsia="en-IN"/>
              </w:rPr>
              <w:t>2.1</w:t>
            </w:r>
          </w:p>
        </w:tc>
        <w:tc>
          <w:tcPr>
            <w:tcW w:w="648" w:type="dxa"/>
            <w:tcBorders>
              <w:top w:val="nil"/>
              <w:left w:val="nil"/>
              <w:bottom w:val="single" w:sz="4" w:space="0" w:color="auto"/>
              <w:right w:val="single" w:sz="4" w:space="0" w:color="auto"/>
            </w:tcBorders>
            <w:shd w:val="clear" w:color="auto" w:fill="auto"/>
            <w:noWrap/>
            <w:vAlign w:val="bottom"/>
            <w:hideMark/>
          </w:tcPr>
          <w:p w14:paraId="459E46C9" w14:textId="23CA6F36" w:rsidR="002133E8" w:rsidRPr="00E24FB4" w:rsidRDefault="002133E8" w:rsidP="00416BEF">
            <w:pPr>
              <w:jc w:val="right"/>
              <w:rPr>
                <w:sz w:val="18"/>
                <w:szCs w:val="18"/>
                <w:lang w:eastAsia="en-IN"/>
              </w:rPr>
            </w:pPr>
            <w:r w:rsidRPr="00E24FB4">
              <w:rPr>
                <w:sz w:val="18"/>
                <w:szCs w:val="18"/>
                <w:lang w:eastAsia="en-IN"/>
              </w:rPr>
              <w:t>1.9</w:t>
            </w:r>
          </w:p>
        </w:tc>
        <w:tc>
          <w:tcPr>
            <w:tcW w:w="647" w:type="dxa"/>
            <w:tcBorders>
              <w:top w:val="nil"/>
              <w:left w:val="nil"/>
              <w:bottom w:val="single" w:sz="4" w:space="0" w:color="auto"/>
              <w:right w:val="single" w:sz="4" w:space="0" w:color="auto"/>
            </w:tcBorders>
            <w:shd w:val="clear" w:color="auto" w:fill="auto"/>
            <w:noWrap/>
            <w:vAlign w:val="bottom"/>
            <w:hideMark/>
          </w:tcPr>
          <w:p w14:paraId="640E5BD8" w14:textId="52402441" w:rsidR="002133E8" w:rsidRPr="00E24FB4" w:rsidRDefault="002133E8" w:rsidP="00416BEF">
            <w:pPr>
              <w:jc w:val="right"/>
              <w:rPr>
                <w:sz w:val="18"/>
                <w:szCs w:val="18"/>
                <w:lang w:eastAsia="en-IN"/>
              </w:rPr>
            </w:pPr>
            <w:r w:rsidRPr="00E24FB4">
              <w:rPr>
                <w:sz w:val="18"/>
                <w:szCs w:val="18"/>
                <w:lang w:eastAsia="en-IN"/>
              </w:rPr>
              <w:t>2.3</w:t>
            </w:r>
          </w:p>
        </w:tc>
        <w:tc>
          <w:tcPr>
            <w:tcW w:w="648" w:type="dxa"/>
            <w:tcBorders>
              <w:top w:val="nil"/>
              <w:left w:val="nil"/>
              <w:bottom w:val="single" w:sz="4" w:space="0" w:color="auto"/>
              <w:right w:val="single" w:sz="4" w:space="0" w:color="auto"/>
            </w:tcBorders>
            <w:shd w:val="clear" w:color="auto" w:fill="auto"/>
            <w:noWrap/>
            <w:vAlign w:val="bottom"/>
            <w:hideMark/>
          </w:tcPr>
          <w:p w14:paraId="15E64A9C" w14:textId="1769CB6E" w:rsidR="002133E8" w:rsidRPr="00E24FB4" w:rsidRDefault="002133E8" w:rsidP="00416BEF">
            <w:pPr>
              <w:jc w:val="right"/>
              <w:rPr>
                <w:sz w:val="18"/>
                <w:szCs w:val="18"/>
                <w:lang w:eastAsia="en-IN"/>
              </w:rPr>
            </w:pPr>
            <w:r w:rsidRPr="00E24FB4">
              <w:rPr>
                <w:sz w:val="18"/>
                <w:szCs w:val="18"/>
                <w:lang w:eastAsia="en-IN"/>
              </w:rPr>
              <w:t>2.8</w:t>
            </w:r>
          </w:p>
        </w:tc>
        <w:tc>
          <w:tcPr>
            <w:tcW w:w="648" w:type="dxa"/>
            <w:tcBorders>
              <w:top w:val="nil"/>
              <w:left w:val="nil"/>
              <w:bottom w:val="single" w:sz="4" w:space="0" w:color="auto"/>
              <w:right w:val="single" w:sz="4" w:space="0" w:color="auto"/>
            </w:tcBorders>
            <w:shd w:val="clear" w:color="auto" w:fill="auto"/>
            <w:noWrap/>
            <w:vAlign w:val="bottom"/>
            <w:hideMark/>
          </w:tcPr>
          <w:p w14:paraId="3EC8EDAE" w14:textId="629EE4C7" w:rsidR="002133E8" w:rsidRPr="00E24FB4" w:rsidRDefault="002133E8" w:rsidP="00416BEF">
            <w:pPr>
              <w:jc w:val="right"/>
              <w:rPr>
                <w:sz w:val="18"/>
                <w:szCs w:val="18"/>
                <w:lang w:eastAsia="en-IN"/>
              </w:rPr>
            </w:pPr>
            <w:r w:rsidRPr="00E24FB4">
              <w:rPr>
                <w:sz w:val="18"/>
                <w:szCs w:val="18"/>
                <w:lang w:eastAsia="en-IN"/>
              </w:rPr>
              <w:t>2.3</w:t>
            </w:r>
          </w:p>
        </w:tc>
        <w:tc>
          <w:tcPr>
            <w:tcW w:w="647" w:type="dxa"/>
            <w:tcBorders>
              <w:top w:val="nil"/>
              <w:left w:val="nil"/>
              <w:bottom w:val="single" w:sz="4" w:space="0" w:color="auto"/>
              <w:right w:val="single" w:sz="4" w:space="0" w:color="auto"/>
            </w:tcBorders>
            <w:shd w:val="clear" w:color="auto" w:fill="auto"/>
            <w:noWrap/>
            <w:vAlign w:val="bottom"/>
            <w:hideMark/>
          </w:tcPr>
          <w:p w14:paraId="3D531017" w14:textId="782F0388" w:rsidR="002133E8" w:rsidRPr="00E24FB4" w:rsidRDefault="002133E8" w:rsidP="00416BEF">
            <w:pPr>
              <w:jc w:val="right"/>
              <w:rPr>
                <w:sz w:val="18"/>
                <w:szCs w:val="18"/>
                <w:lang w:eastAsia="en-IN"/>
              </w:rPr>
            </w:pPr>
            <w:r w:rsidRPr="00E24FB4">
              <w:rPr>
                <w:sz w:val="18"/>
                <w:szCs w:val="18"/>
                <w:lang w:eastAsia="en-IN"/>
              </w:rPr>
              <w:t>2.1</w:t>
            </w:r>
          </w:p>
        </w:tc>
        <w:tc>
          <w:tcPr>
            <w:tcW w:w="648" w:type="dxa"/>
            <w:tcBorders>
              <w:top w:val="nil"/>
              <w:left w:val="nil"/>
              <w:bottom w:val="single" w:sz="4" w:space="0" w:color="auto"/>
              <w:right w:val="single" w:sz="4" w:space="0" w:color="auto"/>
            </w:tcBorders>
            <w:shd w:val="clear" w:color="auto" w:fill="auto"/>
            <w:noWrap/>
            <w:vAlign w:val="bottom"/>
            <w:hideMark/>
          </w:tcPr>
          <w:p w14:paraId="369D2111" w14:textId="00CC8DA7" w:rsidR="002133E8" w:rsidRPr="00E24FB4" w:rsidRDefault="002133E8" w:rsidP="00416BEF">
            <w:pPr>
              <w:jc w:val="right"/>
              <w:rPr>
                <w:sz w:val="18"/>
                <w:szCs w:val="18"/>
                <w:lang w:eastAsia="en-IN"/>
              </w:rPr>
            </w:pPr>
            <w:r w:rsidRPr="00E24FB4">
              <w:rPr>
                <w:sz w:val="18"/>
                <w:szCs w:val="18"/>
                <w:lang w:eastAsia="en-IN"/>
              </w:rPr>
              <w:t>1.9</w:t>
            </w:r>
          </w:p>
        </w:tc>
        <w:tc>
          <w:tcPr>
            <w:tcW w:w="648" w:type="dxa"/>
            <w:tcBorders>
              <w:top w:val="nil"/>
              <w:left w:val="nil"/>
              <w:bottom w:val="single" w:sz="4" w:space="0" w:color="auto"/>
              <w:right w:val="single" w:sz="4" w:space="0" w:color="auto"/>
            </w:tcBorders>
            <w:shd w:val="clear" w:color="auto" w:fill="auto"/>
            <w:noWrap/>
            <w:vAlign w:val="bottom"/>
            <w:hideMark/>
          </w:tcPr>
          <w:p w14:paraId="450A536E" w14:textId="10D68DE2" w:rsidR="002133E8" w:rsidRPr="00E24FB4" w:rsidRDefault="002133E8" w:rsidP="00416BEF">
            <w:pPr>
              <w:jc w:val="right"/>
              <w:rPr>
                <w:sz w:val="18"/>
                <w:szCs w:val="18"/>
                <w:lang w:eastAsia="en-IN"/>
              </w:rPr>
            </w:pPr>
            <w:r w:rsidRPr="00E24FB4">
              <w:rPr>
                <w:sz w:val="18"/>
                <w:szCs w:val="18"/>
                <w:lang w:eastAsia="en-IN"/>
              </w:rPr>
              <w:t>1.9</w:t>
            </w:r>
          </w:p>
        </w:tc>
      </w:tr>
      <w:tr w:rsidR="00416BEF" w:rsidRPr="00E24FB4" w14:paraId="26525CE1" w14:textId="77777777" w:rsidTr="00CE2BAE">
        <w:trPr>
          <w:trHeight w:val="142"/>
        </w:trPr>
        <w:tc>
          <w:tcPr>
            <w:tcW w:w="2253" w:type="dxa"/>
            <w:tcBorders>
              <w:top w:val="nil"/>
              <w:left w:val="single" w:sz="4" w:space="0" w:color="auto"/>
              <w:bottom w:val="single" w:sz="4" w:space="0" w:color="auto"/>
              <w:right w:val="single" w:sz="4" w:space="0" w:color="auto"/>
            </w:tcBorders>
            <w:shd w:val="clear" w:color="auto" w:fill="auto"/>
            <w:noWrap/>
            <w:vAlign w:val="bottom"/>
            <w:hideMark/>
          </w:tcPr>
          <w:p w14:paraId="10DC35C2" w14:textId="77777777" w:rsidR="002133E8" w:rsidRPr="00E24FB4" w:rsidRDefault="002133E8" w:rsidP="002133E8">
            <w:pPr>
              <w:rPr>
                <w:sz w:val="18"/>
                <w:szCs w:val="18"/>
                <w:lang w:eastAsia="en-IN"/>
              </w:rPr>
            </w:pPr>
            <w:r w:rsidRPr="00E24FB4">
              <w:rPr>
                <w:sz w:val="18"/>
                <w:szCs w:val="18"/>
                <w:lang w:eastAsia="en-IN"/>
              </w:rPr>
              <w:t>Net fixed asset turns</w:t>
            </w:r>
          </w:p>
        </w:tc>
        <w:tc>
          <w:tcPr>
            <w:tcW w:w="647" w:type="dxa"/>
            <w:tcBorders>
              <w:top w:val="nil"/>
              <w:left w:val="nil"/>
              <w:bottom w:val="single" w:sz="4" w:space="0" w:color="auto"/>
              <w:right w:val="single" w:sz="4" w:space="0" w:color="auto"/>
            </w:tcBorders>
            <w:shd w:val="clear" w:color="auto" w:fill="auto"/>
            <w:noWrap/>
            <w:vAlign w:val="bottom"/>
            <w:hideMark/>
          </w:tcPr>
          <w:p w14:paraId="6B072080" w14:textId="6C89A800" w:rsidR="002133E8" w:rsidRPr="00E24FB4" w:rsidRDefault="002133E8" w:rsidP="00416BEF">
            <w:pPr>
              <w:jc w:val="right"/>
              <w:rPr>
                <w:sz w:val="18"/>
                <w:szCs w:val="18"/>
                <w:lang w:eastAsia="en-IN"/>
              </w:rPr>
            </w:pPr>
            <w:r w:rsidRPr="00E24FB4">
              <w:rPr>
                <w:sz w:val="18"/>
                <w:szCs w:val="18"/>
                <w:lang w:eastAsia="en-IN"/>
              </w:rPr>
              <w:t>2.4</w:t>
            </w:r>
          </w:p>
        </w:tc>
        <w:tc>
          <w:tcPr>
            <w:tcW w:w="648" w:type="dxa"/>
            <w:tcBorders>
              <w:top w:val="nil"/>
              <w:left w:val="nil"/>
              <w:bottom w:val="single" w:sz="4" w:space="0" w:color="auto"/>
              <w:right w:val="single" w:sz="4" w:space="0" w:color="auto"/>
            </w:tcBorders>
            <w:shd w:val="clear" w:color="auto" w:fill="auto"/>
            <w:noWrap/>
            <w:vAlign w:val="bottom"/>
            <w:hideMark/>
          </w:tcPr>
          <w:p w14:paraId="0B76C437" w14:textId="5AE34769" w:rsidR="002133E8" w:rsidRPr="00E24FB4" w:rsidRDefault="002133E8" w:rsidP="00416BEF">
            <w:pPr>
              <w:jc w:val="right"/>
              <w:rPr>
                <w:sz w:val="18"/>
                <w:szCs w:val="18"/>
                <w:lang w:eastAsia="en-IN"/>
              </w:rPr>
            </w:pPr>
            <w:r w:rsidRPr="00E24FB4">
              <w:rPr>
                <w:sz w:val="18"/>
                <w:szCs w:val="18"/>
                <w:lang w:eastAsia="en-IN"/>
              </w:rPr>
              <w:t>2.6</w:t>
            </w:r>
          </w:p>
        </w:tc>
        <w:tc>
          <w:tcPr>
            <w:tcW w:w="648" w:type="dxa"/>
            <w:tcBorders>
              <w:top w:val="nil"/>
              <w:left w:val="nil"/>
              <w:bottom w:val="single" w:sz="4" w:space="0" w:color="auto"/>
              <w:right w:val="single" w:sz="4" w:space="0" w:color="auto"/>
            </w:tcBorders>
            <w:shd w:val="clear" w:color="auto" w:fill="auto"/>
            <w:noWrap/>
            <w:vAlign w:val="bottom"/>
            <w:hideMark/>
          </w:tcPr>
          <w:p w14:paraId="6652333E" w14:textId="0112C1EA" w:rsidR="002133E8" w:rsidRPr="00E24FB4" w:rsidRDefault="002133E8" w:rsidP="00416BEF">
            <w:pPr>
              <w:jc w:val="right"/>
              <w:rPr>
                <w:sz w:val="18"/>
                <w:szCs w:val="18"/>
                <w:lang w:eastAsia="en-IN"/>
              </w:rPr>
            </w:pPr>
            <w:r w:rsidRPr="00E24FB4">
              <w:rPr>
                <w:sz w:val="18"/>
                <w:szCs w:val="18"/>
                <w:lang w:eastAsia="en-IN"/>
              </w:rPr>
              <w:t>2.7</w:t>
            </w:r>
          </w:p>
        </w:tc>
        <w:tc>
          <w:tcPr>
            <w:tcW w:w="647" w:type="dxa"/>
            <w:tcBorders>
              <w:top w:val="nil"/>
              <w:left w:val="nil"/>
              <w:bottom w:val="single" w:sz="4" w:space="0" w:color="auto"/>
              <w:right w:val="single" w:sz="4" w:space="0" w:color="auto"/>
            </w:tcBorders>
            <w:shd w:val="clear" w:color="auto" w:fill="auto"/>
            <w:noWrap/>
            <w:vAlign w:val="bottom"/>
            <w:hideMark/>
          </w:tcPr>
          <w:p w14:paraId="7A84B360" w14:textId="68A0B516" w:rsidR="002133E8" w:rsidRPr="00E24FB4" w:rsidRDefault="002133E8" w:rsidP="00416BEF">
            <w:pPr>
              <w:jc w:val="right"/>
              <w:rPr>
                <w:sz w:val="18"/>
                <w:szCs w:val="18"/>
                <w:lang w:eastAsia="en-IN"/>
              </w:rPr>
            </w:pPr>
            <w:r w:rsidRPr="00E24FB4">
              <w:rPr>
                <w:sz w:val="18"/>
                <w:szCs w:val="18"/>
                <w:lang w:eastAsia="en-IN"/>
              </w:rPr>
              <w:t>2.8</w:t>
            </w:r>
          </w:p>
        </w:tc>
        <w:tc>
          <w:tcPr>
            <w:tcW w:w="648" w:type="dxa"/>
            <w:tcBorders>
              <w:top w:val="nil"/>
              <w:left w:val="nil"/>
              <w:bottom w:val="single" w:sz="4" w:space="0" w:color="auto"/>
              <w:right w:val="single" w:sz="4" w:space="0" w:color="auto"/>
            </w:tcBorders>
            <w:shd w:val="clear" w:color="auto" w:fill="auto"/>
            <w:noWrap/>
            <w:vAlign w:val="bottom"/>
            <w:hideMark/>
          </w:tcPr>
          <w:p w14:paraId="4FE2729E" w14:textId="417F21F0" w:rsidR="002133E8" w:rsidRPr="00E24FB4" w:rsidRDefault="002133E8" w:rsidP="00416BEF">
            <w:pPr>
              <w:jc w:val="right"/>
              <w:rPr>
                <w:sz w:val="18"/>
                <w:szCs w:val="18"/>
                <w:lang w:eastAsia="en-IN"/>
              </w:rPr>
            </w:pPr>
            <w:r w:rsidRPr="00E24FB4">
              <w:rPr>
                <w:sz w:val="18"/>
                <w:szCs w:val="18"/>
                <w:lang w:eastAsia="en-IN"/>
              </w:rPr>
              <w:t>3.0</w:t>
            </w:r>
          </w:p>
        </w:tc>
        <w:tc>
          <w:tcPr>
            <w:tcW w:w="648" w:type="dxa"/>
            <w:tcBorders>
              <w:top w:val="nil"/>
              <w:left w:val="nil"/>
              <w:bottom w:val="single" w:sz="4" w:space="0" w:color="auto"/>
              <w:right w:val="single" w:sz="4" w:space="0" w:color="auto"/>
            </w:tcBorders>
            <w:shd w:val="clear" w:color="auto" w:fill="auto"/>
            <w:noWrap/>
            <w:vAlign w:val="bottom"/>
            <w:hideMark/>
          </w:tcPr>
          <w:p w14:paraId="3D540445" w14:textId="0A8D441D" w:rsidR="002133E8" w:rsidRPr="00E24FB4" w:rsidRDefault="002133E8" w:rsidP="00416BEF">
            <w:pPr>
              <w:jc w:val="right"/>
              <w:rPr>
                <w:sz w:val="18"/>
                <w:szCs w:val="18"/>
                <w:lang w:eastAsia="en-IN"/>
              </w:rPr>
            </w:pPr>
            <w:r w:rsidRPr="00E24FB4">
              <w:rPr>
                <w:sz w:val="18"/>
                <w:szCs w:val="18"/>
                <w:lang w:eastAsia="en-IN"/>
              </w:rPr>
              <w:t>2.4</w:t>
            </w:r>
          </w:p>
        </w:tc>
        <w:tc>
          <w:tcPr>
            <w:tcW w:w="647" w:type="dxa"/>
            <w:tcBorders>
              <w:top w:val="nil"/>
              <w:left w:val="nil"/>
              <w:bottom w:val="single" w:sz="4" w:space="0" w:color="auto"/>
              <w:right w:val="single" w:sz="4" w:space="0" w:color="auto"/>
            </w:tcBorders>
            <w:shd w:val="clear" w:color="auto" w:fill="auto"/>
            <w:noWrap/>
            <w:vAlign w:val="bottom"/>
            <w:hideMark/>
          </w:tcPr>
          <w:p w14:paraId="5B34A1FB" w14:textId="6A0D4CBF" w:rsidR="002133E8" w:rsidRPr="00E24FB4" w:rsidRDefault="002133E8" w:rsidP="00416BEF">
            <w:pPr>
              <w:jc w:val="right"/>
              <w:rPr>
                <w:sz w:val="18"/>
                <w:szCs w:val="18"/>
                <w:lang w:eastAsia="en-IN"/>
              </w:rPr>
            </w:pPr>
            <w:r w:rsidRPr="00E24FB4">
              <w:rPr>
                <w:sz w:val="18"/>
                <w:szCs w:val="18"/>
                <w:lang w:eastAsia="en-IN"/>
              </w:rPr>
              <w:t>3.0</w:t>
            </w:r>
          </w:p>
        </w:tc>
        <w:tc>
          <w:tcPr>
            <w:tcW w:w="648" w:type="dxa"/>
            <w:tcBorders>
              <w:top w:val="nil"/>
              <w:left w:val="nil"/>
              <w:bottom w:val="single" w:sz="4" w:space="0" w:color="auto"/>
              <w:right w:val="single" w:sz="4" w:space="0" w:color="auto"/>
            </w:tcBorders>
            <w:shd w:val="clear" w:color="auto" w:fill="auto"/>
            <w:noWrap/>
            <w:vAlign w:val="bottom"/>
            <w:hideMark/>
          </w:tcPr>
          <w:p w14:paraId="0D370F00" w14:textId="31853FB0" w:rsidR="002133E8" w:rsidRPr="00E24FB4" w:rsidRDefault="002133E8" w:rsidP="00416BEF">
            <w:pPr>
              <w:jc w:val="right"/>
              <w:rPr>
                <w:sz w:val="18"/>
                <w:szCs w:val="18"/>
                <w:lang w:eastAsia="en-IN"/>
              </w:rPr>
            </w:pPr>
            <w:r w:rsidRPr="00E24FB4">
              <w:rPr>
                <w:sz w:val="18"/>
                <w:szCs w:val="18"/>
                <w:lang w:eastAsia="en-IN"/>
              </w:rPr>
              <w:t>3.6</w:t>
            </w:r>
          </w:p>
        </w:tc>
        <w:tc>
          <w:tcPr>
            <w:tcW w:w="648" w:type="dxa"/>
            <w:tcBorders>
              <w:top w:val="nil"/>
              <w:left w:val="nil"/>
              <w:bottom w:val="single" w:sz="4" w:space="0" w:color="auto"/>
              <w:right w:val="single" w:sz="4" w:space="0" w:color="auto"/>
            </w:tcBorders>
            <w:shd w:val="clear" w:color="auto" w:fill="auto"/>
            <w:noWrap/>
            <w:vAlign w:val="bottom"/>
            <w:hideMark/>
          </w:tcPr>
          <w:p w14:paraId="14472D4C" w14:textId="72C0DA2B" w:rsidR="002133E8" w:rsidRPr="00E24FB4" w:rsidRDefault="002133E8" w:rsidP="00416BEF">
            <w:pPr>
              <w:jc w:val="right"/>
              <w:rPr>
                <w:sz w:val="18"/>
                <w:szCs w:val="18"/>
                <w:lang w:eastAsia="en-IN"/>
              </w:rPr>
            </w:pPr>
            <w:r w:rsidRPr="00E24FB4">
              <w:rPr>
                <w:sz w:val="18"/>
                <w:szCs w:val="18"/>
                <w:lang w:eastAsia="en-IN"/>
              </w:rPr>
              <w:t>2.4</w:t>
            </w:r>
          </w:p>
        </w:tc>
        <w:tc>
          <w:tcPr>
            <w:tcW w:w="647" w:type="dxa"/>
            <w:tcBorders>
              <w:top w:val="nil"/>
              <w:left w:val="nil"/>
              <w:bottom w:val="single" w:sz="4" w:space="0" w:color="auto"/>
              <w:right w:val="single" w:sz="4" w:space="0" w:color="auto"/>
            </w:tcBorders>
            <w:shd w:val="clear" w:color="auto" w:fill="auto"/>
            <w:noWrap/>
            <w:vAlign w:val="bottom"/>
            <w:hideMark/>
          </w:tcPr>
          <w:p w14:paraId="09A17C3A" w14:textId="569430E8" w:rsidR="002133E8" w:rsidRPr="00E24FB4" w:rsidRDefault="002133E8" w:rsidP="00416BEF">
            <w:pPr>
              <w:jc w:val="right"/>
              <w:rPr>
                <w:sz w:val="18"/>
                <w:szCs w:val="18"/>
                <w:lang w:eastAsia="en-IN"/>
              </w:rPr>
            </w:pPr>
            <w:r w:rsidRPr="00E24FB4">
              <w:rPr>
                <w:sz w:val="18"/>
                <w:szCs w:val="18"/>
                <w:lang w:eastAsia="en-IN"/>
              </w:rPr>
              <w:t>2.4</w:t>
            </w:r>
          </w:p>
        </w:tc>
        <w:tc>
          <w:tcPr>
            <w:tcW w:w="648" w:type="dxa"/>
            <w:tcBorders>
              <w:top w:val="nil"/>
              <w:left w:val="nil"/>
              <w:bottom w:val="single" w:sz="4" w:space="0" w:color="auto"/>
              <w:right w:val="single" w:sz="4" w:space="0" w:color="auto"/>
            </w:tcBorders>
            <w:shd w:val="clear" w:color="auto" w:fill="auto"/>
            <w:noWrap/>
            <w:vAlign w:val="bottom"/>
            <w:hideMark/>
          </w:tcPr>
          <w:p w14:paraId="132778B7" w14:textId="12737F86" w:rsidR="002133E8" w:rsidRPr="00E24FB4" w:rsidRDefault="002133E8" w:rsidP="00416BEF">
            <w:pPr>
              <w:jc w:val="right"/>
              <w:rPr>
                <w:sz w:val="18"/>
                <w:szCs w:val="18"/>
                <w:lang w:eastAsia="en-IN"/>
              </w:rPr>
            </w:pPr>
            <w:r w:rsidRPr="00E24FB4">
              <w:rPr>
                <w:sz w:val="18"/>
                <w:szCs w:val="18"/>
                <w:lang w:eastAsia="en-IN"/>
              </w:rPr>
              <w:t>2.3</w:t>
            </w:r>
          </w:p>
        </w:tc>
        <w:tc>
          <w:tcPr>
            <w:tcW w:w="648" w:type="dxa"/>
            <w:tcBorders>
              <w:top w:val="nil"/>
              <w:left w:val="nil"/>
              <w:bottom w:val="single" w:sz="4" w:space="0" w:color="auto"/>
              <w:right w:val="single" w:sz="4" w:space="0" w:color="auto"/>
            </w:tcBorders>
            <w:shd w:val="clear" w:color="auto" w:fill="auto"/>
            <w:noWrap/>
            <w:vAlign w:val="bottom"/>
            <w:hideMark/>
          </w:tcPr>
          <w:p w14:paraId="6C4ECE6F" w14:textId="4122076D" w:rsidR="002133E8" w:rsidRPr="00E24FB4" w:rsidRDefault="002133E8" w:rsidP="00416BEF">
            <w:pPr>
              <w:jc w:val="right"/>
              <w:rPr>
                <w:sz w:val="18"/>
                <w:szCs w:val="18"/>
                <w:lang w:eastAsia="en-IN"/>
              </w:rPr>
            </w:pPr>
            <w:r w:rsidRPr="00E24FB4">
              <w:rPr>
                <w:sz w:val="18"/>
                <w:szCs w:val="18"/>
                <w:lang w:eastAsia="en-IN"/>
              </w:rPr>
              <w:t>2.4</w:t>
            </w:r>
          </w:p>
        </w:tc>
      </w:tr>
    </w:tbl>
    <w:p w14:paraId="6AD731D6" w14:textId="699103F5" w:rsidR="002133E8" w:rsidRPr="00E24FB4" w:rsidRDefault="002133E8" w:rsidP="00A73A9E">
      <w:pPr>
        <w:pStyle w:val="ListParagraph"/>
        <w:ind w:left="1440"/>
        <w:rPr>
          <w:sz w:val="20"/>
          <w:szCs w:val="20"/>
        </w:rPr>
      </w:pPr>
    </w:p>
    <w:p w14:paraId="7B51CDD4" w14:textId="77777777" w:rsidR="00CE2BAE" w:rsidRPr="00E24FB4" w:rsidRDefault="00CE2BAE" w:rsidP="00A73A9E">
      <w:pPr>
        <w:pStyle w:val="ListParagraph"/>
        <w:ind w:left="1440"/>
        <w:rPr>
          <w:sz w:val="20"/>
          <w:szCs w:val="20"/>
        </w:rPr>
      </w:pPr>
    </w:p>
    <w:p w14:paraId="39309D36" w14:textId="7558B7B8" w:rsidR="00A73A9E" w:rsidRPr="00E24FB4" w:rsidRDefault="00A73A9E" w:rsidP="00436A87">
      <w:pPr>
        <w:pStyle w:val="ListParagraph"/>
        <w:numPr>
          <w:ilvl w:val="0"/>
          <w:numId w:val="18"/>
        </w:numPr>
        <w:rPr>
          <w:b/>
          <w:bCs/>
          <w:sz w:val="20"/>
          <w:szCs w:val="20"/>
        </w:rPr>
      </w:pPr>
      <w:r w:rsidRPr="00E24FB4">
        <w:rPr>
          <w:b/>
          <w:bCs/>
          <w:sz w:val="20"/>
          <w:szCs w:val="20"/>
        </w:rPr>
        <w:t>Capital Efficiency/Allocation – Low</w:t>
      </w:r>
    </w:p>
    <w:p w14:paraId="190BF690" w14:textId="0913F97F" w:rsidR="00A73A9E" w:rsidRPr="00E24FB4" w:rsidRDefault="00FA3BD4" w:rsidP="006A7A29">
      <w:pPr>
        <w:ind w:left="360"/>
        <w:rPr>
          <w:sz w:val="20"/>
          <w:szCs w:val="20"/>
        </w:rPr>
      </w:pPr>
      <w:r w:rsidRPr="00E24FB4">
        <w:rPr>
          <w:sz w:val="20"/>
          <w:szCs w:val="20"/>
        </w:rPr>
        <w:t>High working capital results in overall lower capital efficiency despite the higher production efficiency. However, high working capital seems to be an industry wide issues with high receivables days across the industry (on account of competition with China which offered 180 days credit).</w:t>
      </w:r>
      <w:r w:rsidR="00512A48" w:rsidRPr="00E24FB4">
        <w:rPr>
          <w:sz w:val="20"/>
          <w:szCs w:val="20"/>
        </w:rPr>
        <w:t xml:space="preserve"> Also BRL prefers to pay its suppliers upfront to retain loyalty of the suppliers which increases the working capital cycle. For comparison of receivables &amp; payables days across the industry, pls refer to the Annexure.</w:t>
      </w:r>
    </w:p>
    <w:p w14:paraId="5E573003" w14:textId="77777777" w:rsidR="00CE2BAE" w:rsidRPr="00E24FB4" w:rsidRDefault="00CE2BAE" w:rsidP="006A7A29">
      <w:pPr>
        <w:ind w:left="360"/>
        <w:rPr>
          <w:sz w:val="20"/>
          <w:szCs w:val="20"/>
        </w:rPr>
      </w:pPr>
    </w:p>
    <w:tbl>
      <w:tblPr>
        <w:tblStyle w:val="TableGrid"/>
        <w:tblW w:w="10086" w:type="dxa"/>
        <w:tblInd w:w="-5" w:type="dxa"/>
        <w:tblLook w:val="04A0" w:firstRow="1" w:lastRow="0" w:firstColumn="1" w:lastColumn="0" w:noHBand="0" w:noVBand="1"/>
      </w:tblPr>
      <w:tblGrid>
        <w:gridCol w:w="2043"/>
        <w:gridCol w:w="670"/>
        <w:gridCol w:w="670"/>
        <w:gridCol w:w="670"/>
        <w:gridCol w:w="671"/>
        <w:gridCol w:w="670"/>
        <w:gridCol w:w="670"/>
        <w:gridCol w:w="670"/>
        <w:gridCol w:w="671"/>
        <w:gridCol w:w="670"/>
        <w:gridCol w:w="670"/>
        <w:gridCol w:w="670"/>
        <w:gridCol w:w="671"/>
      </w:tblGrid>
      <w:tr w:rsidR="00E24FB4" w:rsidRPr="00E24FB4" w14:paraId="6D270BCB" w14:textId="5F96E882" w:rsidTr="005F3B64">
        <w:trPr>
          <w:trHeight w:val="530"/>
        </w:trPr>
        <w:tc>
          <w:tcPr>
            <w:tcW w:w="2043" w:type="dxa"/>
          </w:tcPr>
          <w:p w14:paraId="0B7E8F51" w14:textId="5F8C29F7" w:rsidR="00907BC0" w:rsidRPr="00E24FB4" w:rsidRDefault="00907BC0" w:rsidP="00907BC0">
            <w:pPr>
              <w:pStyle w:val="ListParagraph"/>
              <w:ind w:left="0"/>
              <w:rPr>
                <w:b/>
                <w:bCs/>
                <w:sz w:val="18"/>
                <w:szCs w:val="18"/>
              </w:rPr>
            </w:pPr>
            <w:r w:rsidRPr="00E24FB4">
              <w:rPr>
                <w:b/>
                <w:bCs/>
                <w:sz w:val="18"/>
                <w:szCs w:val="18"/>
              </w:rPr>
              <w:t>Net invested capital turnover ratio</w:t>
            </w:r>
          </w:p>
        </w:tc>
        <w:tc>
          <w:tcPr>
            <w:tcW w:w="670" w:type="dxa"/>
          </w:tcPr>
          <w:p w14:paraId="114CC590" w14:textId="3D64C533" w:rsidR="00907BC0" w:rsidRPr="00E24FB4" w:rsidRDefault="00907BC0" w:rsidP="00907BC0">
            <w:pPr>
              <w:pStyle w:val="ListParagraph"/>
              <w:ind w:left="0"/>
              <w:rPr>
                <w:sz w:val="18"/>
                <w:szCs w:val="18"/>
              </w:rPr>
            </w:pPr>
            <w:r w:rsidRPr="00E24FB4">
              <w:rPr>
                <w:b/>
                <w:bCs/>
                <w:sz w:val="18"/>
                <w:szCs w:val="18"/>
              </w:rPr>
              <w:t>FY08</w:t>
            </w:r>
          </w:p>
        </w:tc>
        <w:tc>
          <w:tcPr>
            <w:tcW w:w="670" w:type="dxa"/>
          </w:tcPr>
          <w:p w14:paraId="4943D316" w14:textId="5DEE0EB1" w:rsidR="00907BC0" w:rsidRPr="00E24FB4" w:rsidRDefault="00907BC0" w:rsidP="00907BC0">
            <w:pPr>
              <w:pStyle w:val="ListParagraph"/>
              <w:ind w:left="0"/>
              <w:rPr>
                <w:sz w:val="18"/>
                <w:szCs w:val="18"/>
              </w:rPr>
            </w:pPr>
            <w:r w:rsidRPr="00E24FB4">
              <w:rPr>
                <w:b/>
                <w:bCs/>
                <w:sz w:val="18"/>
                <w:szCs w:val="18"/>
              </w:rPr>
              <w:t>FY09</w:t>
            </w:r>
          </w:p>
        </w:tc>
        <w:tc>
          <w:tcPr>
            <w:tcW w:w="670" w:type="dxa"/>
          </w:tcPr>
          <w:p w14:paraId="4A05BCE9" w14:textId="10B67BFD" w:rsidR="00907BC0" w:rsidRPr="00E24FB4" w:rsidRDefault="00907BC0" w:rsidP="00907BC0">
            <w:pPr>
              <w:pStyle w:val="ListParagraph"/>
              <w:ind w:left="0"/>
              <w:rPr>
                <w:sz w:val="18"/>
                <w:szCs w:val="18"/>
              </w:rPr>
            </w:pPr>
            <w:r w:rsidRPr="00E24FB4">
              <w:rPr>
                <w:b/>
                <w:bCs/>
                <w:sz w:val="18"/>
                <w:szCs w:val="18"/>
              </w:rPr>
              <w:t>FY10</w:t>
            </w:r>
          </w:p>
        </w:tc>
        <w:tc>
          <w:tcPr>
            <w:tcW w:w="671" w:type="dxa"/>
          </w:tcPr>
          <w:p w14:paraId="592D0492" w14:textId="46F61A1E" w:rsidR="00907BC0" w:rsidRPr="00E24FB4" w:rsidRDefault="00907BC0" w:rsidP="00907BC0">
            <w:pPr>
              <w:pStyle w:val="ListParagraph"/>
              <w:ind w:left="0"/>
              <w:rPr>
                <w:sz w:val="18"/>
                <w:szCs w:val="18"/>
              </w:rPr>
            </w:pPr>
            <w:r w:rsidRPr="00E24FB4">
              <w:rPr>
                <w:b/>
                <w:bCs/>
                <w:sz w:val="18"/>
                <w:szCs w:val="18"/>
              </w:rPr>
              <w:t>F</w:t>
            </w:r>
            <w:r w:rsidR="005F3B64">
              <w:rPr>
                <w:b/>
                <w:bCs/>
                <w:sz w:val="18"/>
                <w:szCs w:val="18"/>
              </w:rPr>
              <w:t>Y</w:t>
            </w:r>
            <w:r w:rsidRPr="00E24FB4">
              <w:rPr>
                <w:b/>
                <w:bCs/>
                <w:sz w:val="18"/>
                <w:szCs w:val="18"/>
              </w:rPr>
              <w:t>11</w:t>
            </w:r>
          </w:p>
        </w:tc>
        <w:tc>
          <w:tcPr>
            <w:tcW w:w="670" w:type="dxa"/>
          </w:tcPr>
          <w:p w14:paraId="2F152B48" w14:textId="6A54DCDE" w:rsidR="00907BC0" w:rsidRPr="00E24FB4" w:rsidRDefault="00907BC0" w:rsidP="00907BC0">
            <w:pPr>
              <w:pStyle w:val="ListParagraph"/>
              <w:ind w:left="0"/>
              <w:rPr>
                <w:sz w:val="18"/>
                <w:szCs w:val="18"/>
              </w:rPr>
            </w:pPr>
            <w:r w:rsidRPr="00E24FB4">
              <w:rPr>
                <w:b/>
                <w:bCs/>
                <w:sz w:val="18"/>
                <w:szCs w:val="18"/>
              </w:rPr>
              <w:t>FY12</w:t>
            </w:r>
          </w:p>
        </w:tc>
        <w:tc>
          <w:tcPr>
            <w:tcW w:w="670" w:type="dxa"/>
          </w:tcPr>
          <w:p w14:paraId="5A2A459E" w14:textId="54AA2709" w:rsidR="00907BC0" w:rsidRPr="00E24FB4" w:rsidRDefault="00907BC0" w:rsidP="00907BC0">
            <w:pPr>
              <w:pStyle w:val="ListParagraph"/>
              <w:ind w:left="0"/>
              <w:rPr>
                <w:sz w:val="18"/>
                <w:szCs w:val="18"/>
              </w:rPr>
            </w:pPr>
            <w:r w:rsidRPr="00E24FB4">
              <w:rPr>
                <w:b/>
                <w:bCs/>
                <w:sz w:val="18"/>
                <w:szCs w:val="18"/>
              </w:rPr>
              <w:t>FY13</w:t>
            </w:r>
          </w:p>
        </w:tc>
        <w:tc>
          <w:tcPr>
            <w:tcW w:w="670" w:type="dxa"/>
          </w:tcPr>
          <w:p w14:paraId="22BD9DC9" w14:textId="1EA85DD0" w:rsidR="00907BC0" w:rsidRPr="00E24FB4" w:rsidRDefault="00907BC0" w:rsidP="00907BC0">
            <w:pPr>
              <w:pStyle w:val="ListParagraph"/>
              <w:ind w:left="0"/>
              <w:rPr>
                <w:sz w:val="18"/>
                <w:szCs w:val="18"/>
              </w:rPr>
            </w:pPr>
            <w:r w:rsidRPr="00E24FB4">
              <w:rPr>
                <w:b/>
                <w:bCs/>
                <w:sz w:val="18"/>
                <w:szCs w:val="18"/>
              </w:rPr>
              <w:t>FY14</w:t>
            </w:r>
          </w:p>
        </w:tc>
        <w:tc>
          <w:tcPr>
            <w:tcW w:w="671" w:type="dxa"/>
          </w:tcPr>
          <w:p w14:paraId="5F5AE443" w14:textId="3C23AA5D" w:rsidR="00907BC0" w:rsidRPr="00E24FB4" w:rsidRDefault="00907BC0" w:rsidP="00907BC0">
            <w:pPr>
              <w:pStyle w:val="ListParagraph"/>
              <w:ind w:left="0"/>
              <w:rPr>
                <w:sz w:val="18"/>
                <w:szCs w:val="18"/>
              </w:rPr>
            </w:pPr>
            <w:r w:rsidRPr="00E24FB4">
              <w:rPr>
                <w:b/>
                <w:bCs/>
                <w:sz w:val="18"/>
                <w:szCs w:val="18"/>
              </w:rPr>
              <w:t>FY15</w:t>
            </w:r>
          </w:p>
        </w:tc>
        <w:tc>
          <w:tcPr>
            <w:tcW w:w="670" w:type="dxa"/>
          </w:tcPr>
          <w:p w14:paraId="3CF3B9AE" w14:textId="3F4B754C" w:rsidR="00907BC0" w:rsidRPr="00E24FB4" w:rsidRDefault="00907BC0" w:rsidP="00907BC0">
            <w:pPr>
              <w:pStyle w:val="ListParagraph"/>
              <w:ind w:left="0"/>
              <w:rPr>
                <w:sz w:val="18"/>
                <w:szCs w:val="18"/>
              </w:rPr>
            </w:pPr>
            <w:r w:rsidRPr="00E24FB4">
              <w:rPr>
                <w:b/>
                <w:bCs/>
                <w:sz w:val="18"/>
                <w:szCs w:val="18"/>
              </w:rPr>
              <w:t>FY16</w:t>
            </w:r>
          </w:p>
        </w:tc>
        <w:tc>
          <w:tcPr>
            <w:tcW w:w="670" w:type="dxa"/>
          </w:tcPr>
          <w:p w14:paraId="5D50BD6C" w14:textId="4CDFB156" w:rsidR="00907BC0" w:rsidRPr="00E24FB4" w:rsidRDefault="00907BC0" w:rsidP="00907BC0">
            <w:pPr>
              <w:pStyle w:val="ListParagraph"/>
              <w:ind w:left="0"/>
              <w:rPr>
                <w:sz w:val="18"/>
                <w:szCs w:val="18"/>
              </w:rPr>
            </w:pPr>
            <w:r w:rsidRPr="00E24FB4">
              <w:rPr>
                <w:b/>
                <w:bCs/>
                <w:sz w:val="18"/>
                <w:szCs w:val="18"/>
              </w:rPr>
              <w:t>FY17</w:t>
            </w:r>
          </w:p>
        </w:tc>
        <w:tc>
          <w:tcPr>
            <w:tcW w:w="670" w:type="dxa"/>
          </w:tcPr>
          <w:p w14:paraId="3B62BC9C" w14:textId="3CA30A15" w:rsidR="00907BC0" w:rsidRPr="00E24FB4" w:rsidRDefault="00907BC0" w:rsidP="00907BC0">
            <w:pPr>
              <w:pStyle w:val="ListParagraph"/>
              <w:ind w:left="0"/>
              <w:rPr>
                <w:sz w:val="18"/>
                <w:szCs w:val="18"/>
              </w:rPr>
            </w:pPr>
            <w:r w:rsidRPr="00E24FB4">
              <w:rPr>
                <w:b/>
                <w:bCs/>
                <w:sz w:val="18"/>
                <w:szCs w:val="18"/>
              </w:rPr>
              <w:t>FY18</w:t>
            </w:r>
          </w:p>
        </w:tc>
        <w:tc>
          <w:tcPr>
            <w:tcW w:w="671" w:type="dxa"/>
          </w:tcPr>
          <w:p w14:paraId="55EA9067" w14:textId="55C6994D" w:rsidR="00907BC0" w:rsidRPr="00E24FB4" w:rsidRDefault="00907BC0" w:rsidP="00907BC0">
            <w:pPr>
              <w:pStyle w:val="ListParagraph"/>
              <w:ind w:left="0"/>
              <w:rPr>
                <w:sz w:val="18"/>
                <w:szCs w:val="18"/>
              </w:rPr>
            </w:pPr>
            <w:r w:rsidRPr="00E24FB4">
              <w:rPr>
                <w:b/>
                <w:bCs/>
                <w:sz w:val="18"/>
                <w:szCs w:val="18"/>
              </w:rPr>
              <w:t>FY19</w:t>
            </w:r>
          </w:p>
        </w:tc>
      </w:tr>
      <w:tr w:rsidR="00E24FB4" w:rsidRPr="00E24FB4" w14:paraId="7D611B79" w14:textId="22B29031" w:rsidTr="005F3B64">
        <w:trPr>
          <w:trHeight w:val="264"/>
        </w:trPr>
        <w:tc>
          <w:tcPr>
            <w:tcW w:w="2043" w:type="dxa"/>
          </w:tcPr>
          <w:p w14:paraId="0DFC64CF" w14:textId="33FAB849" w:rsidR="00907BC0" w:rsidRPr="00E24FB4" w:rsidRDefault="00907BC0" w:rsidP="00907BC0">
            <w:pPr>
              <w:pStyle w:val="ListParagraph"/>
              <w:ind w:left="0"/>
              <w:rPr>
                <w:sz w:val="18"/>
                <w:szCs w:val="18"/>
              </w:rPr>
            </w:pPr>
            <w:r w:rsidRPr="00E24FB4">
              <w:rPr>
                <w:sz w:val="18"/>
                <w:szCs w:val="18"/>
              </w:rPr>
              <w:t xml:space="preserve">Bharat </w:t>
            </w:r>
            <w:proofErr w:type="spellStart"/>
            <w:r w:rsidRPr="00E24FB4">
              <w:rPr>
                <w:sz w:val="18"/>
                <w:szCs w:val="18"/>
              </w:rPr>
              <w:t>Rasayan</w:t>
            </w:r>
            <w:proofErr w:type="spellEnd"/>
          </w:p>
        </w:tc>
        <w:tc>
          <w:tcPr>
            <w:tcW w:w="670" w:type="dxa"/>
            <w:vAlign w:val="bottom"/>
          </w:tcPr>
          <w:p w14:paraId="26B408A1" w14:textId="7F87F7A0" w:rsidR="00907BC0" w:rsidRPr="00E24FB4" w:rsidRDefault="00907BC0" w:rsidP="00D20E9F">
            <w:pPr>
              <w:pStyle w:val="ListParagraph"/>
              <w:ind w:left="0"/>
              <w:jc w:val="right"/>
              <w:rPr>
                <w:sz w:val="18"/>
                <w:szCs w:val="18"/>
              </w:rPr>
            </w:pPr>
            <w:r w:rsidRPr="00E24FB4">
              <w:rPr>
                <w:sz w:val="18"/>
                <w:szCs w:val="18"/>
              </w:rPr>
              <w:t>1.6</w:t>
            </w:r>
          </w:p>
        </w:tc>
        <w:tc>
          <w:tcPr>
            <w:tcW w:w="670" w:type="dxa"/>
            <w:vAlign w:val="bottom"/>
          </w:tcPr>
          <w:p w14:paraId="63BBE180" w14:textId="50223E6B" w:rsidR="00907BC0" w:rsidRPr="00E24FB4" w:rsidRDefault="00907BC0" w:rsidP="00D20E9F">
            <w:pPr>
              <w:pStyle w:val="ListParagraph"/>
              <w:ind w:left="0"/>
              <w:jc w:val="right"/>
              <w:rPr>
                <w:sz w:val="18"/>
                <w:szCs w:val="18"/>
              </w:rPr>
            </w:pPr>
            <w:r w:rsidRPr="00E24FB4">
              <w:rPr>
                <w:sz w:val="18"/>
                <w:szCs w:val="18"/>
              </w:rPr>
              <w:t>2.0</w:t>
            </w:r>
          </w:p>
        </w:tc>
        <w:tc>
          <w:tcPr>
            <w:tcW w:w="670" w:type="dxa"/>
            <w:vAlign w:val="bottom"/>
          </w:tcPr>
          <w:p w14:paraId="39C6E39C" w14:textId="06650C51" w:rsidR="00907BC0" w:rsidRPr="00E24FB4" w:rsidRDefault="00907BC0" w:rsidP="00D20E9F">
            <w:pPr>
              <w:pStyle w:val="ListParagraph"/>
              <w:ind w:left="0"/>
              <w:jc w:val="right"/>
              <w:rPr>
                <w:sz w:val="18"/>
                <w:szCs w:val="18"/>
              </w:rPr>
            </w:pPr>
            <w:r w:rsidRPr="00E24FB4">
              <w:rPr>
                <w:sz w:val="18"/>
                <w:szCs w:val="18"/>
              </w:rPr>
              <w:t>2.2</w:t>
            </w:r>
          </w:p>
        </w:tc>
        <w:tc>
          <w:tcPr>
            <w:tcW w:w="671" w:type="dxa"/>
            <w:vAlign w:val="bottom"/>
          </w:tcPr>
          <w:p w14:paraId="1E16B808" w14:textId="5894CE0F" w:rsidR="00907BC0" w:rsidRPr="00E24FB4" w:rsidRDefault="00907BC0" w:rsidP="00D20E9F">
            <w:pPr>
              <w:pStyle w:val="ListParagraph"/>
              <w:ind w:left="0"/>
              <w:jc w:val="right"/>
              <w:rPr>
                <w:sz w:val="18"/>
                <w:szCs w:val="18"/>
              </w:rPr>
            </w:pPr>
            <w:r w:rsidRPr="00E24FB4">
              <w:rPr>
                <w:sz w:val="18"/>
                <w:szCs w:val="18"/>
              </w:rPr>
              <w:t>1.8</w:t>
            </w:r>
          </w:p>
        </w:tc>
        <w:tc>
          <w:tcPr>
            <w:tcW w:w="670" w:type="dxa"/>
            <w:vAlign w:val="bottom"/>
          </w:tcPr>
          <w:p w14:paraId="689ED502" w14:textId="3068F946" w:rsidR="00907BC0" w:rsidRPr="00E24FB4" w:rsidRDefault="00907BC0" w:rsidP="00D20E9F">
            <w:pPr>
              <w:pStyle w:val="ListParagraph"/>
              <w:ind w:left="0"/>
              <w:jc w:val="right"/>
              <w:rPr>
                <w:sz w:val="18"/>
                <w:szCs w:val="18"/>
              </w:rPr>
            </w:pPr>
            <w:r w:rsidRPr="00E24FB4">
              <w:rPr>
                <w:sz w:val="18"/>
                <w:szCs w:val="18"/>
              </w:rPr>
              <w:t>1.5</w:t>
            </w:r>
          </w:p>
        </w:tc>
        <w:tc>
          <w:tcPr>
            <w:tcW w:w="670" w:type="dxa"/>
            <w:vAlign w:val="bottom"/>
          </w:tcPr>
          <w:p w14:paraId="305EA038" w14:textId="0A04B774" w:rsidR="00907BC0" w:rsidRPr="00E24FB4" w:rsidRDefault="00907BC0" w:rsidP="00D20E9F">
            <w:pPr>
              <w:pStyle w:val="ListParagraph"/>
              <w:ind w:left="0"/>
              <w:jc w:val="right"/>
              <w:rPr>
                <w:sz w:val="18"/>
                <w:szCs w:val="18"/>
              </w:rPr>
            </w:pPr>
            <w:r w:rsidRPr="00E24FB4">
              <w:rPr>
                <w:sz w:val="18"/>
                <w:szCs w:val="18"/>
              </w:rPr>
              <w:t>1.0</w:t>
            </w:r>
          </w:p>
        </w:tc>
        <w:tc>
          <w:tcPr>
            <w:tcW w:w="670" w:type="dxa"/>
            <w:vAlign w:val="bottom"/>
          </w:tcPr>
          <w:p w14:paraId="39354CCD" w14:textId="702152BB" w:rsidR="00907BC0" w:rsidRPr="00E24FB4" w:rsidRDefault="00907BC0" w:rsidP="00D20E9F">
            <w:pPr>
              <w:pStyle w:val="ListParagraph"/>
              <w:ind w:left="0"/>
              <w:jc w:val="right"/>
              <w:rPr>
                <w:sz w:val="18"/>
                <w:szCs w:val="18"/>
              </w:rPr>
            </w:pPr>
            <w:r w:rsidRPr="00E24FB4">
              <w:rPr>
                <w:sz w:val="18"/>
                <w:szCs w:val="18"/>
              </w:rPr>
              <w:t>1.6</w:t>
            </w:r>
          </w:p>
        </w:tc>
        <w:tc>
          <w:tcPr>
            <w:tcW w:w="671" w:type="dxa"/>
            <w:vAlign w:val="bottom"/>
          </w:tcPr>
          <w:p w14:paraId="4CD020C0" w14:textId="212971A0" w:rsidR="00907BC0" w:rsidRPr="00E24FB4" w:rsidRDefault="00907BC0" w:rsidP="00D20E9F">
            <w:pPr>
              <w:pStyle w:val="ListParagraph"/>
              <w:ind w:left="0"/>
              <w:jc w:val="right"/>
              <w:rPr>
                <w:sz w:val="18"/>
                <w:szCs w:val="18"/>
              </w:rPr>
            </w:pPr>
            <w:r w:rsidRPr="00E24FB4">
              <w:rPr>
                <w:sz w:val="18"/>
                <w:szCs w:val="18"/>
              </w:rPr>
              <w:t>1.7</w:t>
            </w:r>
          </w:p>
        </w:tc>
        <w:tc>
          <w:tcPr>
            <w:tcW w:w="670" w:type="dxa"/>
            <w:vAlign w:val="bottom"/>
          </w:tcPr>
          <w:p w14:paraId="67853C24" w14:textId="2F18E483" w:rsidR="00907BC0" w:rsidRPr="00E24FB4" w:rsidRDefault="00907BC0" w:rsidP="00D20E9F">
            <w:pPr>
              <w:pStyle w:val="ListParagraph"/>
              <w:ind w:left="0"/>
              <w:jc w:val="right"/>
              <w:rPr>
                <w:sz w:val="18"/>
                <w:szCs w:val="18"/>
              </w:rPr>
            </w:pPr>
            <w:r w:rsidRPr="00E24FB4">
              <w:rPr>
                <w:sz w:val="18"/>
                <w:szCs w:val="18"/>
              </w:rPr>
              <w:t>1.8</w:t>
            </w:r>
          </w:p>
        </w:tc>
        <w:tc>
          <w:tcPr>
            <w:tcW w:w="670" w:type="dxa"/>
            <w:vAlign w:val="bottom"/>
          </w:tcPr>
          <w:p w14:paraId="2912BB3A" w14:textId="49C54E8C" w:rsidR="00907BC0" w:rsidRPr="00E24FB4" w:rsidRDefault="00907BC0" w:rsidP="00D20E9F">
            <w:pPr>
              <w:pStyle w:val="ListParagraph"/>
              <w:ind w:left="0"/>
              <w:jc w:val="right"/>
              <w:rPr>
                <w:sz w:val="18"/>
                <w:szCs w:val="18"/>
              </w:rPr>
            </w:pPr>
            <w:r w:rsidRPr="00E24FB4">
              <w:rPr>
                <w:sz w:val="18"/>
                <w:szCs w:val="18"/>
              </w:rPr>
              <w:t>2.0</w:t>
            </w:r>
          </w:p>
        </w:tc>
        <w:tc>
          <w:tcPr>
            <w:tcW w:w="670" w:type="dxa"/>
            <w:vAlign w:val="bottom"/>
          </w:tcPr>
          <w:p w14:paraId="37527A4C" w14:textId="4B77572F" w:rsidR="00907BC0" w:rsidRPr="00E24FB4" w:rsidRDefault="00907BC0" w:rsidP="00D20E9F">
            <w:pPr>
              <w:pStyle w:val="ListParagraph"/>
              <w:ind w:left="0"/>
              <w:jc w:val="right"/>
              <w:rPr>
                <w:sz w:val="18"/>
                <w:szCs w:val="18"/>
              </w:rPr>
            </w:pPr>
            <w:r w:rsidRPr="00E24FB4">
              <w:rPr>
                <w:sz w:val="18"/>
                <w:szCs w:val="18"/>
              </w:rPr>
              <w:t>1.9</w:t>
            </w:r>
          </w:p>
        </w:tc>
        <w:tc>
          <w:tcPr>
            <w:tcW w:w="671" w:type="dxa"/>
            <w:vAlign w:val="bottom"/>
          </w:tcPr>
          <w:p w14:paraId="722A8EEC" w14:textId="02AE9693" w:rsidR="00907BC0" w:rsidRPr="00E24FB4" w:rsidRDefault="00907BC0" w:rsidP="00D20E9F">
            <w:pPr>
              <w:pStyle w:val="ListParagraph"/>
              <w:ind w:left="0"/>
              <w:jc w:val="right"/>
              <w:rPr>
                <w:sz w:val="18"/>
                <w:szCs w:val="18"/>
              </w:rPr>
            </w:pPr>
            <w:r w:rsidRPr="00E24FB4">
              <w:rPr>
                <w:sz w:val="18"/>
                <w:szCs w:val="18"/>
              </w:rPr>
              <w:t>1.5</w:t>
            </w:r>
          </w:p>
        </w:tc>
      </w:tr>
      <w:tr w:rsidR="00E24FB4" w:rsidRPr="00E24FB4" w14:paraId="48913801" w14:textId="65B9E15A" w:rsidTr="005F3B64">
        <w:trPr>
          <w:trHeight w:val="264"/>
        </w:trPr>
        <w:tc>
          <w:tcPr>
            <w:tcW w:w="2043" w:type="dxa"/>
          </w:tcPr>
          <w:p w14:paraId="1167EE77" w14:textId="7AD57114" w:rsidR="00907BC0" w:rsidRPr="00E24FB4" w:rsidRDefault="00907BC0" w:rsidP="00907BC0">
            <w:pPr>
              <w:pStyle w:val="ListParagraph"/>
              <w:ind w:left="0"/>
              <w:rPr>
                <w:sz w:val="18"/>
                <w:szCs w:val="18"/>
              </w:rPr>
            </w:pPr>
            <w:r w:rsidRPr="00E24FB4">
              <w:rPr>
                <w:sz w:val="18"/>
                <w:szCs w:val="18"/>
              </w:rPr>
              <w:t>PI Industries</w:t>
            </w:r>
          </w:p>
        </w:tc>
        <w:tc>
          <w:tcPr>
            <w:tcW w:w="670" w:type="dxa"/>
            <w:vAlign w:val="bottom"/>
          </w:tcPr>
          <w:p w14:paraId="5B34084C" w14:textId="3F76C51A" w:rsidR="00907BC0" w:rsidRPr="00E24FB4" w:rsidRDefault="00907BC0" w:rsidP="00D20E9F">
            <w:pPr>
              <w:pStyle w:val="ListParagraph"/>
              <w:ind w:left="0"/>
              <w:jc w:val="right"/>
              <w:rPr>
                <w:sz w:val="18"/>
                <w:szCs w:val="18"/>
              </w:rPr>
            </w:pPr>
            <w:r w:rsidRPr="00E24FB4">
              <w:rPr>
                <w:sz w:val="18"/>
                <w:szCs w:val="18"/>
              </w:rPr>
              <w:t>1.5</w:t>
            </w:r>
          </w:p>
        </w:tc>
        <w:tc>
          <w:tcPr>
            <w:tcW w:w="670" w:type="dxa"/>
            <w:vAlign w:val="bottom"/>
          </w:tcPr>
          <w:p w14:paraId="762F26DE" w14:textId="17FDF1B8" w:rsidR="00907BC0" w:rsidRPr="00E24FB4" w:rsidRDefault="00907BC0" w:rsidP="00D20E9F">
            <w:pPr>
              <w:pStyle w:val="ListParagraph"/>
              <w:ind w:left="0"/>
              <w:jc w:val="right"/>
              <w:rPr>
                <w:sz w:val="18"/>
                <w:szCs w:val="18"/>
              </w:rPr>
            </w:pPr>
            <w:r w:rsidRPr="00E24FB4">
              <w:rPr>
                <w:sz w:val="18"/>
                <w:szCs w:val="18"/>
              </w:rPr>
              <w:t>1.6</w:t>
            </w:r>
          </w:p>
        </w:tc>
        <w:tc>
          <w:tcPr>
            <w:tcW w:w="670" w:type="dxa"/>
            <w:vAlign w:val="bottom"/>
          </w:tcPr>
          <w:p w14:paraId="09F31BFF" w14:textId="38621AE3" w:rsidR="00907BC0" w:rsidRPr="00E24FB4" w:rsidRDefault="00907BC0" w:rsidP="00D20E9F">
            <w:pPr>
              <w:pStyle w:val="ListParagraph"/>
              <w:ind w:left="0"/>
              <w:jc w:val="right"/>
              <w:rPr>
                <w:sz w:val="18"/>
                <w:szCs w:val="18"/>
              </w:rPr>
            </w:pPr>
            <w:r w:rsidRPr="00E24FB4">
              <w:rPr>
                <w:sz w:val="18"/>
                <w:szCs w:val="18"/>
              </w:rPr>
              <w:t>1.9</w:t>
            </w:r>
          </w:p>
        </w:tc>
        <w:tc>
          <w:tcPr>
            <w:tcW w:w="671" w:type="dxa"/>
            <w:vAlign w:val="bottom"/>
          </w:tcPr>
          <w:p w14:paraId="4E85B72A" w14:textId="21BE4CAD" w:rsidR="00907BC0" w:rsidRPr="00E24FB4" w:rsidRDefault="00907BC0" w:rsidP="00D20E9F">
            <w:pPr>
              <w:pStyle w:val="ListParagraph"/>
              <w:ind w:left="0"/>
              <w:jc w:val="right"/>
              <w:rPr>
                <w:sz w:val="18"/>
                <w:szCs w:val="18"/>
              </w:rPr>
            </w:pPr>
            <w:r w:rsidRPr="00E24FB4">
              <w:rPr>
                <w:sz w:val="18"/>
                <w:szCs w:val="18"/>
              </w:rPr>
              <w:t>1.6</w:t>
            </w:r>
          </w:p>
        </w:tc>
        <w:tc>
          <w:tcPr>
            <w:tcW w:w="670" w:type="dxa"/>
            <w:vAlign w:val="bottom"/>
          </w:tcPr>
          <w:p w14:paraId="7AD0A291" w14:textId="609CC518" w:rsidR="00907BC0" w:rsidRPr="00E24FB4" w:rsidRDefault="00907BC0" w:rsidP="00D20E9F">
            <w:pPr>
              <w:pStyle w:val="ListParagraph"/>
              <w:ind w:left="0"/>
              <w:jc w:val="right"/>
              <w:rPr>
                <w:sz w:val="18"/>
                <w:szCs w:val="18"/>
              </w:rPr>
            </w:pPr>
            <w:r w:rsidRPr="00E24FB4">
              <w:rPr>
                <w:sz w:val="18"/>
                <w:szCs w:val="18"/>
              </w:rPr>
              <w:t>1.5</w:t>
            </w:r>
          </w:p>
        </w:tc>
        <w:tc>
          <w:tcPr>
            <w:tcW w:w="670" w:type="dxa"/>
            <w:vAlign w:val="bottom"/>
          </w:tcPr>
          <w:p w14:paraId="30F98C7D" w14:textId="293B0A7D" w:rsidR="00907BC0" w:rsidRPr="00E24FB4" w:rsidRDefault="00907BC0" w:rsidP="00D20E9F">
            <w:pPr>
              <w:pStyle w:val="ListParagraph"/>
              <w:ind w:left="0"/>
              <w:jc w:val="right"/>
              <w:rPr>
                <w:sz w:val="18"/>
                <w:szCs w:val="18"/>
              </w:rPr>
            </w:pPr>
            <w:r w:rsidRPr="00E24FB4">
              <w:rPr>
                <w:sz w:val="18"/>
                <w:szCs w:val="18"/>
              </w:rPr>
              <w:t>1.5</w:t>
            </w:r>
          </w:p>
        </w:tc>
        <w:tc>
          <w:tcPr>
            <w:tcW w:w="670" w:type="dxa"/>
            <w:vAlign w:val="bottom"/>
          </w:tcPr>
          <w:p w14:paraId="708F5BF8" w14:textId="0E1D2D21" w:rsidR="00907BC0" w:rsidRPr="00E24FB4" w:rsidRDefault="00907BC0" w:rsidP="00D20E9F">
            <w:pPr>
              <w:pStyle w:val="ListParagraph"/>
              <w:ind w:left="0"/>
              <w:jc w:val="right"/>
              <w:rPr>
                <w:sz w:val="18"/>
                <w:szCs w:val="18"/>
              </w:rPr>
            </w:pPr>
            <w:r w:rsidRPr="00E24FB4">
              <w:rPr>
                <w:sz w:val="18"/>
                <w:szCs w:val="18"/>
              </w:rPr>
              <w:t>2.0</w:t>
            </w:r>
          </w:p>
        </w:tc>
        <w:tc>
          <w:tcPr>
            <w:tcW w:w="671" w:type="dxa"/>
            <w:vAlign w:val="bottom"/>
          </w:tcPr>
          <w:p w14:paraId="46C81AA6" w14:textId="0FA779DE" w:rsidR="00907BC0" w:rsidRPr="00E24FB4" w:rsidRDefault="00907BC0" w:rsidP="00D20E9F">
            <w:pPr>
              <w:pStyle w:val="ListParagraph"/>
              <w:ind w:left="0"/>
              <w:jc w:val="right"/>
              <w:rPr>
                <w:sz w:val="18"/>
                <w:szCs w:val="18"/>
              </w:rPr>
            </w:pPr>
            <w:r w:rsidRPr="00E24FB4">
              <w:rPr>
                <w:sz w:val="18"/>
                <w:szCs w:val="18"/>
              </w:rPr>
              <w:t>1.9</w:t>
            </w:r>
          </w:p>
        </w:tc>
        <w:tc>
          <w:tcPr>
            <w:tcW w:w="670" w:type="dxa"/>
            <w:vAlign w:val="bottom"/>
          </w:tcPr>
          <w:p w14:paraId="05B33F54" w14:textId="799B2310" w:rsidR="00907BC0" w:rsidRPr="00E24FB4" w:rsidRDefault="00907BC0" w:rsidP="00D20E9F">
            <w:pPr>
              <w:pStyle w:val="ListParagraph"/>
              <w:ind w:left="0"/>
              <w:jc w:val="right"/>
              <w:rPr>
                <w:sz w:val="18"/>
                <w:szCs w:val="18"/>
              </w:rPr>
            </w:pPr>
            <w:r w:rsidRPr="00E24FB4">
              <w:rPr>
                <w:sz w:val="18"/>
                <w:szCs w:val="18"/>
              </w:rPr>
              <w:t>1.6</w:t>
            </w:r>
          </w:p>
        </w:tc>
        <w:tc>
          <w:tcPr>
            <w:tcW w:w="670" w:type="dxa"/>
            <w:vAlign w:val="bottom"/>
          </w:tcPr>
          <w:p w14:paraId="3CE6B575" w14:textId="085AE7C0" w:rsidR="00907BC0" w:rsidRPr="00E24FB4" w:rsidRDefault="00907BC0" w:rsidP="00D20E9F">
            <w:pPr>
              <w:pStyle w:val="ListParagraph"/>
              <w:ind w:left="0"/>
              <w:jc w:val="right"/>
              <w:rPr>
                <w:sz w:val="18"/>
                <w:szCs w:val="18"/>
              </w:rPr>
            </w:pPr>
            <w:r w:rsidRPr="00E24FB4">
              <w:rPr>
                <w:sz w:val="18"/>
                <w:szCs w:val="18"/>
              </w:rPr>
              <w:t>1.3</w:t>
            </w:r>
          </w:p>
        </w:tc>
        <w:tc>
          <w:tcPr>
            <w:tcW w:w="670" w:type="dxa"/>
            <w:vAlign w:val="bottom"/>
          </w:tcPr>
          <w:p w14:paraId="27073002" w14:textId="3B68AE9A" w:rsidR="00907BC0" w:rsidRPr="00E24FB4" w:rsidRDefault="00907BC0" w:rsidP="00D20E9F">
            <w:pPr>
              <w:pStyle w:val="ListParagraph"/>
              <w:ind w:left="0"/>
              <w:jc w:val="right"/>
              <w:rPr>
                <w:sz w:val="18"/>
                <w:szCs w:val="18"/>
              </w:rPr>
            </w:pPr>
            <w:r w:rsidRPr="00E24FB4">
              <w:rPr>
                <w:sz w:val="18"/>
                <w:szCs w:val="18"/>
              </w:rPr>
              <w:t>1.1</w:t>
            </w:r>
          </w:p>
        </w:tc>
        <w:tc>
          <w:tcPr>
            <w:tcW w:w="671" w:type="dxa"/>
            <w:vAlign w:val="bottom"/>
          </w:tcPr>
          <w:p w14:paraId="59C98F4C" w14:textId="6D3E4153" w:rsidR="00907BC0" w:rsidRPr="00E24FB4" w:rsidRDefault="00907BC0" w:rsidP="00D20E9F">
            <w:pPr>
              <w:pStyle w:val="ListParagraph"/>
              <w:ind w:left="0"/>
              <w:jc w:val="right"/>
              <w:rPr>
                <w:sz w:val="18"/>
                <w:szCs w:val="18"/>
              </w:rPr>
            </w:pPr>
            <w:r w:rsidRPr="00E24FB4">
              <w:rPr>
                <w:sz w:val="18"/>
                <w:szCs w:val="18"/>
              </w:rPr>
              <w:t>1.2</w:t>
            </w:r>
          </w:p>
        </w:tc>
      </w:tr>
    </w:tbl>
    <w:p w14:paraId="3348CAAC" w14:textId="77777777" w:rsidR="00FA3BD4" w:rsidRPr="00E24FB4" w:rsidRDefault="00FA3BD4" w:rsidP="00A73A9E">
      <w:pPr>
        <w:pStyle w:val="ListParagraph"/>
        <w:ind w:left="1440"/>
        <w:rPr>
          <w:sz w:val="20"/>
          <w:szCs w:val="20"/>
        </w:rPr>
      </w:pPr>
    </w:p>
    <w:p w14:paraId="6C8A86B8" w14:textId="593B75AD" w:rsidR="00400FE4" w:rsidRPr="00E24FB4" w:rsidRDefault="006430E3" w:rsidP="009A3199">
      <w:pPr>
        <w:rPr>
          <w:sz w:val="20"/>
          <w:szCs w:val="20"/>
        </w:rPr>
      </w:pPr>
      <w:r w:rsidRPr="00E24FB4">
        <w:rPr>
          <w:sz w:val="20"/>
          <w:szCs w:val="20"/>
        </w:rPr>
        <w:t xml:space="preserve">A comparison between PI Industries and </w:t>
      </w:r>
      <w:r w:rsidR="00F14BD1" w:rsidRPr="00E24FB4">
        <w:rPr>
          <w:sz w:val="20"/>
          <w:szCs w:val="20"/>
        </w:rPr>
        <w:t xml:space="preserve">Bharat </w:t>
      </w:r>
      <w:proofErr w:type="spellStart"/>
      <w:r w:rsidR="00F14BD1" w:rsidRPr="00E24FB4">
        <w:rPr>
          <w:sz w:val="20"/>
          <w:szCs w:val="20"/>
        </w:rPr>
        <w:t>Rasayan</w:t>
      </w:r>
      <w:proofErr w:type="spellEnd"/>
      <w:r w:rsidR="00F14BD1" w:rsidRPr="00E24FB4">
        <w:rPr>
          <w:sz w:val="20"/>
          <w:szCs w:val="20"/>
        </w:rPr>
        <w:t xml:space="preserve"> on the basis of Dupont is attempted below:</w:t>
      </w:r>
    </w:p>
    <w:tbl>
      <w:tblPr>
        <w:tblStyle w:val="TableGrid"/>
        <w:tblW w:w="10348" w:type="dxa"/>
        <w:tblInd w:w="-147" w:type="dxa"/>
        <w:tblLayout w:type="fixed"/>
        <w:tblLook w:val="04A0" w:firstRow="1" w:lastRow="0" w:firstColumn="1" w:lastColumn="0" w:noHBand="0" w:noVBand="1"/>
      </w:tblPr>
      <w:tblGrid>
        <w:gridCol w:w="3970"/>
        <w:gridCol w:w="1842"/>
        <w:gridCol w:w="1134"/>
        <w:gridCol w:w="1985"/>
        <w:gridCol w:w="1417"/>
      </w:tblGrid>
      <w:tr w:rsidR="00E24FB4" w:rsidRPr="00E24FB4" w14:paraId="786346DD" w14:textId="77777777" w:rsidTr="00D20E9F">
        <w:tc>
          <w:tcPr>
            <w:tcW w:w="3970" w:type="dxa"/>
          </w:tcPr>
          <w:p w14:paraId="002A75FF" w14:textId="0B60E571" w:rsidR="00B77039" w:rsidRPr="00E24FB4" w:rsidRDefault="00B77039" w:rsidP="00A73A9E">
            <w:pPr>
              <w:pStyle w:val="ListParagraph"/>
              <w:ind w:left="0"/>
              <w:rPr>
                <w:b/>
                <w:bCs/>
                <w:sz w:val="18"/>
                <w:szCs w:val="18"/>
              </w:rPr>
            </w:pPr>
            <w:proofErr w:type="spellStart"/>
            <w:r w:rsidRPr="00E24FB4">
              <w:rPr>
                <w:b/>
                <w:bCs/>
                <w:sz w:val="18"/>
                <w:szCs w:val="18"/>
              </w:rPr>
              <w:t>RoE</w:t>
            </w:r>
            <w:proofErr w:type="spellEnd"/>
            <w:r w:rsidRPr="00E24FB4">
              <w:rPr>
                <w:b/>
                <w:bCs/>
                <w:sz w:val="18"/>
                <w:szCs w:val="18"/>
              </w:rPr>
              <w:t xml:space="preserve"> explanation (FY 19)</w:t>
            </w:r>
          </w:p>
        </w:tc>
        <w:tc>
          <w:tcPr>
            <w:tcW w:w="1842" w:type="dxa"/>
          </w:tcPr>
          <w:p w14:paraId="14CAA894" w14:textId="4092047B" w:rsidR="00B77039" w:rsidRPr="00E24FB4" w:rsidRDefault="00B77039" w:rsidP="00A73A9E">
            <w:pPr>
              <w:pStyle w:val="ListParagraph"/>
              <w:ind w:left="0"/>
              <w:rPr>
                <w:b/>
                <w:bCs/>
                <w:sz w:val="18"/>
                <w:szCs w:val="18"/>
              </w:rPr>
            </w:pPr>
            <w:r w:rsidRPr="00E24FB4">
              <w:rPr>
                <w:b/>
                <w:bCs/>
                <w:sz w:val="18"/>
                <w:szCs w:val="18"/>
              </w:rPr>
              <w:t>BRL (Historical range)</w:t>
            </w:r>
          </w:p>
        </w:tc>
        <w:tc>
          <w:tcPr>
            <w:tcW w:w="1134" w:type="dxa"/>
          </w:tcPr>
          <w:p w14:paraId="77FD60FE" w14:textId="14F93EE8" w:rsidR="00B77039" w:rsidRPr="00E24FB4" w:rsidRDefault="00B77039" w:rsidP="00A73A9E">
            <w:pPr>
              <w:pStyle w:val="ListParagraph"/>
              <w:ind w:left="0"/>
              <w:rPr>
                <w:b/>
                <w:bCs/>
                <w:sz w:val="18"/>
                <w:szCs w:val="18"/>
              </w:rPr>
            </w:pPr>
            <w:r w:rsidRPr="00E24FB4">
              <w:rPr>
                <w:b/>
                <w:bCs/>
                <w:sz w:val="18"/>
                <w:szCs w:val="18"/>
              </w:rPr>
              <w:t>BRL (FY 19)</w:t>
            </w:r>
          </w:p>
        </w:tc>
        <w:tc>
          <w:tcPr>
            <w:tcW w:w="1985" w:type="dxa"/>
          </w:tcPr>
          <w:p w14:paraId="01801437" w14:textId="42C47180" w:rsidR="00B77039" w:rsidRPr="00E24FB4" w:rsidRDefault="00B77039" w:rsidP="00A73A9E">
            <w:pPr>
              <w:pStyle w:val="ListParagraph"/>
              <w:ind w:left="0"/>
              <w:rPr>
                <w:b/>
                <w:bCs/>
                <w:sz w:val="18"/>
                <w:szCs w:val="18"/>
              </w:rPr>
            </w:pPr>
            <w:r w:rsidRPr="00E24FB4">
              <w:rPr>
                <w:b/>
                <w:bCs/>
                <w:sz w:val="18"/>
                <w:szCs w:val="18"/>
              </w:rPr>
              <w:t>PI Ind (Historical range)</w:t>
            </w:r>
          </w:p>
        </w:tc>
        <w:tc>
          <w:tcPr>
            <w:tcW w:w="1417" w:type="dxa"/>
          </w:tcPr>
          <w:p w14:paraId="4E7EFAAB" w14:textId="6226B1CE" w:rsidR="00B77039" w:rsidRPr="00E24FB4" w:rsidRDefault="00B77039" w:rsidP="00A73A9E">
            <w:pPr>
              <w:pStyle w:val="ListParagraph"/>
              <w:ind w:left="0"/>
              <w:rPr>
                <w:b/>
                <w:bCs/>
                <w:sz w:val="18"/>
                <w:szCs w:val="18"/>
              </w:rPr>
            </w:pPr>
            <w:r w:rsidRPr="00E24FB4">
              <w:rPr>
                <w:b/>
                <w:bCs/>
                <w:sz w:val="18"/>
                <w:szCs w:val="18"/>
              </w:rPr>
              <w:t>PI Ind (FY 19)</w:t>
            </w:r>
          </w:p>
        </w:tc>
      </w:tr>
      <w:tr w:rsidR="00E24FB4" w:rsidRPr="00E24FB4" w14:paraId="015437FF" w14:textId="77777777" w:rsidTr="00D20E9F">
        <w:tc>
          <w:tcPr>
            <w:tcW w:w="3970" w:type="dxa"/>
          </w:tcPr>
          <w:p w14:paraId="338C572E" w14:textId="0C48CC7D" w:rsidR="00B77039" w:rsidRPr="00E24FB4" w:rsidRDefault="00B77039" w:rsidP="00CD5647">
            <w:pPr>
              <w:pStyle w:val="ListParagraph"/>
              <w:ind w:left="0"/>
              <w:rPr>
                <w:sz w:val="18"/>
                <w:szCs w:val="18"/>
              </w:rPr>
            </w:pPr>
            <w:r w:rsidRPr="00E24FB4">
              <w:rPr>
                <w:sz w:val="18"/>
                <w:szCs w:val="18"/>
              </w:rPr>
              <w:t>Net margins (Net profit / Sales) (a)</w:t>
            </w:r>
          </w:p>
        </w:tc>
        <w:tc>
          <w:tcPr>
            <w:tcW w:w="1842" w:type="dxa"/>
          </w:tcPr>
          <w:p w14:paraId="6D0A343B" w14:textId="480FCD2C" w:rsidR="00B77039" w:rsidRPr="00E24FB4" w:rsidRDefault="00B77039" w:rsidP="00CE2BAE">
            <w:pPr>
              <w:pStyle w:val="ListParagraph"/>
              <w:ind w:left="0"/>
              <w:jc w:val="right"/>
              <w:rPr>
                <w:sz w:val="18"/>
                <w:szCs w:val="18"/>
              </w:rPr>
            </w:pPr>
            <w:r w:rsidRPr="00E24FB4">
              <w:rPr>
                <w:sz w:val="18"/>
                <w:szCs w:val="18"/>
              </w:rPr>
              <w:t>6</w:t>
            </w:r>
            <w:r w:rsidR="00D51106" w:rsidRPr="00E24FB4">
              <w:rPr>
                <w:sz w:val="18"/>
                <w:szCs w:val="18"/>
              </w:rPr>
              <w:t>%</w:t>
            </w:r>
            <w:r w:rsidRPr="00E24FB4">
              <w:rPr>
                <w:sz w:val="18"/>
                <w:szCs w:val="18"/>
              </w:rPr>
              <w:t>-12%</w:t>
            </w:r>
          </w:p>
        </w:tc>
        <w:tc>
          <w:tcPr>
            <w:tcW w:w="1134" w:type="dxa"/>
            <w:vAlign w:val="bottom"/>
          </w:tcPr>
          <w:p w14:paraId="29F9409A" w14:textId="3DB1E77B" w:rsidR="00B77039" w:rsidRPr="00E24FB4" w:rsidRDefault="00B77039" w:rsidP="00CE2BAE">
            <w:pPr>
              <w:pStyle w:val="ListParagraph"/>
              <w:ind w:left="0"/>
              <w:jc w:val="right"/>
              <w:rPr>
                <w:sz w:val="18"/>
                <w:szCs w:val="18"/>
              </w:rPr>
            </w:pPr>
            <w:r w:rsidRPr="00E24FB4">
              <w:rPr>
                <w:sz w:val="18"/>
                <w:szCs w:val="18"/>
              </w:rPr>
              <w:t>11%</w:t>
            </w:r>
          </w:p>
        </w:tc>
        <w:tc>
          <w:tcPr>
            <w:tcW w:w="1985" w:type="dxa"/>
          </w:tcPr>
          <w:p w14:paraId="35F8F97F" w14:textId="04A3EEC8" w:rsidR="00B77039" w:rsidRPr="00E24FB4" w:rsidRDefault="00B77039" w:rsidP="00CE2BAE">
            <w:pPr>
              <w:pStyle w:val="ListParagraph"/>
              <w:ind w:left="0"/>
              <w:jc w:val="right"/>
              <w:rPr>
                <w:sz w:val="18"/>
                <w:szCs w:val="18"/>
              </w:rPr>
            </w:pPr>
            <w:r w:rsidRPr="00E24FB4">
              <w:rPr>
                <w:sz w:val="18"/>
                <w:szCs w:val="18"/>
              </w:rPr>
              <w:t>8%-20%</w:t>
            </w:r>
          </w:p>
        </w:tc>
        <w:tc>
          <w:tcPr>
            <w:tcW w:w="1417" w:type="dxa"/>
            <w:vAlign w:val="bottom"/>
          </w:tcPr>
          <w:p w14:paraId="5A3012F5" w14:textId="2994366F" w:rsidR="00B77039" w:rsidRPr="00E24FB4" w:rsidRDefault="00B77039" w:rsidP="00CE2BAE">
            <w:pPr>
              <w:pStyle w:val="ListParagraph"/>
              <w:ind w:left="0"/>
              <w:jc w:val="right"/>
              <w:rPr>
                <w:sz w:val="18"/>
                <w:szCs w:val="18"/>
              </w:rPr>
            </w:pPr>
            <w:r w:rsidRPr="00E24FB4">
              <w:rPr>
                <w:sz w:val="18"/>
                <w:szCs w:val="18"/>
              </w:rPr>
              <w:t>14%</w:t>
            </w:r>
          </w:p>
        </w:tc>
      </w:tr>
      <w:tr w:rsidR="00E24FB4" w:rsidRPr="00E24FB4" w14:paraId="032BF049" w14:textId="77777777" w:rsidTr="00D20E9F">
        <w:tc>
          <w:tcPr>
            <w:tcW w:w="3970" w:type="dxa"/>
          </w:tcPr>
          <w:p w14:paraId="7FACBC80" w14:textId="7F8D9CB9" w:rsidR="00B77039" w:rsidRPr="00E24FB4" w:rsidRDefault="00B77039" w:rsidP="00CD5647">
            <w:pPr>
              <w:pStyle w:val="ListParagraph"/>
              <w:ind w:left="0"/>
              <w:rPr>
                <w:sz w:val="18"/>
                <w:szCs w:val="18"/>
              </w:rPr>
            </w:pPr>
            <w:r w:rsidRPr="00E24FB4">
              <w:rPr>
                <w:sz w:val="18"/>
                <w:szCs w:val="18"/>
              </w:rPr>
              <w:t>Asset turnover (Sales / Total assets) (b)</w:t>
            </w:r>
          </w:p>
        </w:tc>
        <w:tc>
          <w:tcPr>
            <w:tcW w:w="1842" w:type="dxa"/>
          </w:tcPr>
          <w:p w14:paraId="21794D22" w14:textId="6BAEE818" w:rsidR="00B77039" w:rsidRPr="00E24FB4" w:rsidRDefault="00B77039" w:rsidP="00CE2BAE">
            <w:pPr>
              <w:pStyle w:val="ListParagraph"/>
              <w:ind w:left="0"/>
              <w:jc w:val="right"/>
              <w:rPr>
                <w:sz w:val="18"/>
                <w:szCs w:val="18"/>
              </w:rPr>
            </w:pPr>
            <w:r w:rsidRPr="00E24FB4">
              <w:rPr>
                <w:sz w:val="18"/>
                <w:szCs w:val="18"/>
              </w:rPr>
              <w:t>1.1x - 1.7x</w:t>
            </w:r>
          </w:p>
        </w:tc>
        <w:tc>
          <w:tcPr>
            <w:tcW w:w="1134" w:type="dxa"/>
            <w:vAlign w:val="bottom"/>
          </w:tcPr>
          <w:p w14:paraId="20C8675F" w14:textId="3B82BC29" w:rsidR="00B77039" w:rsidRPr="00E24FB4" w:rsidRDefault="00B77039" w:rsidP="00CE2BAE">
            <w:pPr>
              <w:pStyle w:val="ListParagraph"/>
              <w:ind w:left="0"/>
              <w:jc w:val="right"/>
              <w:rPr>
                <w:sz w:val="18"/>
                <w:szCs w:val="18"/>
              </w:rPr>
            </w:pPr>
            <w:r w:rsidRPr="00E24FB4">
              <w:rPr>
                <w:sz w:val="18"/>
                <w:szCs w:val="18"/>
              </w:rPr>
              <w:t xml:space="preserve">           1.31 </w:t>
            </w:r>
          </w:p>
        </w:tc>
        <w:tc>
          <w:tcPr>
            <w:tcW w:w="1985" w:type="dxa"/>
          </w:tcPr>
          <w:p w14:paraId="27DDFDA2" w14:textId="6D2D0CC5" w:rsidR="00B77039" w:rsidRPr="00E24FB4" w:rsidRDefault="00B77039" w:rsidP="00CE2BAE">
            <w:pPr>
              <w:pStyle w:val="ListParagraph"/>
              <w:ind w:left="0"/>
              <w:jc w:val="right"/>
              <w:rPr>
                <w:sz w:val="18"/>
                <w:szCs w:val="18"/>
              </w:rPr>
            </w:pPr>
            <w:r w:rsidRPr="00E24FB4">
              <w:rPr>
                <w:sz w:val="18"/>
                <w:szCs w:val="18"/>
              </w:rPr>
              <w:t>0.8x – 1.2x</w:t>
            </w:r>
          </w:p>
        </w:tc>
        <w:tc>
          <w:tcPr>
            <w:tcW w:w="1417" w:type="dxa"/>
            <w:vAlign w:val="bottom"/>
          </w:tcPr>
          <w:p w14:paraId="43327E81" w14:textId="6C1E8295" w:rsidR="00B77039" w:rsidRPr="00E24FB4" w:rsidRDefault="00B77039" w:rsidP="00CE2BAE">
            <w:pPr>
              <w:pStyle w:val="ListParagraph"/>
              <w:ind w:left="0"/>
              <w:jc w:val="right"/>
              <w:rPr>
                <w:sz w:val="18"/>
                <w:szCs w:val="18"/>
              </w:rPr>
            </w:pPr>
            <w:r w:rsidRPr="00E24FB4">
              <w:rPr>
                <w:sz w:val="18"/>
                <w:szCs w:val="18"/>
              </w:rPr>
              <w:t xml:space="preserve">         0.90</w:t>
            </w:r>
            <w:r w:rsidR="00AD18C5" w:rsidRPr="00E24FB4">
              <w:rPr>
                <w:sz w:val="18"/>
                <w:szCs w:val="18"/>
              </w:rPr>
              <w:t>*</w:t>
            </w:r>
            <w:r w:rsidRPr="00E24FB4">
              <w:rPr>
                <w:sz w:val="18"/>
                <w:szCs w:val="18"/>
              </w:rPr>
              <w:t xml:space="preserve"> </w:t>
            </w:r>
          </w:p>
        </w:tc>
      </w:tr>
      <w:tr w:rsidR="00E24FB4" w:rsidRPr="00E24FB4" w14:paraId="0088EB3A" w14:textId="77777777" w:rsidTr="00D20E9F">
        <w:tc>
          <w:tcPr>
            <w:tcW w:w="3970" w:type="dxa"/>
          </w:tcPr>
          <w:p w14:paraId="13A276D6" w14:textId="409AD87B" w:rsidR="00B77039" w:rsidRPr="00E24FB4" w:rsidRDefault="00B77039" w:rsidP="00CD5647">
            <w:pPr>
              <w:pStyle w:val="ListParagraph"/>
              <w:ind w:left="0"/>
              <w:rPr>
                <w:sz w:val="18"/>
                <w:szCs w:val="18"/>
              </w:rPr>
            </w:pPr>
            <w:r w:rsidRPr="00E24FB4">
              <w:rPr>
                <w:sz w:val="18"/>
                <w:szCs w:val="18"/>
              </w:rPr>
              <w:t>Financial leverage (Total assets / Total Equity) (c)</w:t>
            </w:r>
          </w:p>
        </w:tc>
        <w:tc>
          <w:tcPr>
            <w:tcW w:w="1842" w:type="dxa"/>
          </w:tcPr>
          <w:p w14:paraId="614E42FC" w14:textId="77E5D9E0" w:rsidR="00B77039" w:rsidRPr="00E24FB4" w:rsidRDefault="00B77039" w:rsidP="00CE2BAE">
            <w:pPr>
              <w:pStyle w:val="ListParagraph"/>
              <w:ind w:left="0"/>
              <w:jc w:val="right"/>
              <w:rPr>
                <w:sz w:val="18"/>
                <w:szCs w:val="18"/>
              </w:rPr>
            </w:pPr>
            <w:r w:rsidRPr="00E24FB4">
              <w:rPr>
                <w:sz w:val="18"/>
                <w:szCs w:val="18"/>
              </w:rPr>
              <w:t>1.5x – 3.7x</w:t>
            </w:r>
          </w:p>
        </w:tc>
        <w:tc>
          <w:tcPr>
            <w:tcW w:w="1134" w:type="dxa"/>
          </w:tcPr>
          <w:p w14:paraId="5AB5AE9B" w14:textId="4590DBD5" w:rsidR="00B77039" w:rsidRPr="00E24FB4" w:rsidRDefault="00B77039" w:rsidP="00CE2BAE">
            <w:pPr>
              <w:pStyle w:val="ListParagraph"/>
              <w:ind w:left="0"/>
              <w:jc w:val="right"/>
              <w:rPr>
                <w:sz w:val="18"/>
                <w:szCs w:val="18"/>
              </w:rPr>
            </w:pPr>
            <w:r w:rsidRPr="00E24FB4">
              <w:rPr>
                <w:sz w:val="18"/>
                <w:szCs w:val="18"/>
              </w:rPr>
              <w:t xml:space="preserve">           1.85 </w:t>
            </w:r>
          </w:p>
        </w:tc>
        <w:tc>
          <w:tcPr>
            <w:tcW w:w="1985" w:type="dxa"/>
          </w:tcPr>
          <w:p w14:paraId="6DA9A648" w14:textId="70A911E9" w:rsidR="00B77039" w:rsidRPr="00E24FB4" w:rsidRDefault="00B77039" w:rsidP="00CE2BAE">
            <w:pPr>
              <w:pStyle w:val="ListParagraph"/>
              <w:ind w:left="0"/>
              <w:jc w:val="right"/>
              <w:rPr>
                <w:sz w:val="18"/>
                <w:szCs w:val="18"/>
              </w:rPr>
            </w:pPr>
            <w:r w:rsidRPr="00E24FB4">
              <w:rPr>
                <w:sz w:val="18"/>
                <w:szCs w:val="18"/>
              </w:rPr>
              <w:t>1.4x – 3.0x</w:t>
            </w:r>
          </w:p>
        </w:tc>
        <w:tc>
          <w:tcPr>
            <w:tcW w:w="1417" w:type="dxa"/>
            <w:vAlign w:val="bottom"/>
          </w:tcPr>
          <w:p w14:paraId="06F8595D" w14:textId="0A58044D" w:rsidR="00B77039" w:rsidRPr="00E24FB4" w:rsidRDefault="00B77039" w:rsidP="00CE2BAE">
            <w:pPr>
              <w:pStyle w:val="ListParagraph"/>
              <w:ind w:left="0"/>
              <w:jc w:val="right"/>
              <w:rPr>
                <w:sz w:val="18"/>
                <w:szCs w:val="18"/>
              </w:rPr>
            </w:pPr>
            <w:r w:rsidRPr="00E24FB4">
              <w:rPr>
                <w:sz w:val="18"/>
                <w:szCs w:val="18"/>
              </w:rPr>
              <w:t xml:space="preserve">         1.38 </w:t>
            </w:r>
          </w:p>
        </w:tc>
      </w:tr>
      <w:tr w:rsidR="00E24FB4" w:rsidRPr="00E24FB4" w14:paraId="1E50CC61" w14:textId="77777777" w:rsidTr="00D20E9F">
        <w:tc>
          <w:tcPr>
            <w:tcW w:w="3970" w:type="dxa"/>
          </w:tcPr>
          <w:p w14:paraId="1FB4CA84" w14:textId="4950E935" w:rsidR="00B77039" w:rsidRPr="00E24FB4" w:rsidRDefault="00B77039" w:rsidP="00CD5647">
            <w:pPr>
              <w:pStyle w:val="ListParagraph"/>
              <w:ind w:left="0"/>
              <w:rPr>
                <w:sz w:val="18"/>
                <w:szCs w:val="18"/>
              </w:rPr>
            </w:pPr>
            <w:proofErr w:type="spellStart"/>
            <w:r w:rsidRPr="00E24FB4">
              <w:rPr>
                <w:sz w:val="18"/>
                <w:szCs w:val="18"/>
              </w:rPr>
              <w:t>RoE</w:t>
            </w:r>
            <w:proofErr w:type="spellEnd"/>
            <w:r w:rsidRPr="00E24FB4">
              <w:rPr>
                <w:sz w:val="18"/>
                <w:szCs w:val="18"/>
              </w:rPr>
              <w:t xml:space="preserve"> (a*b*c)</w:t>
            </w:r>
          </w:p>
        </w:tc>
        <w:tc>
          <w:tcPr>
            <w:tcW w:w="1842" w:type="dxa"/>
          </w:tcPr>
          <w:p w14:paraId="6B06E1FD" w14:textId="77777777" w:rsidR="00B77039" w:rsidRPr="00E24FB4" w:rsidRDefault="00B77039" w:rsidP="00CE2BAE">
            <w:pPr>
              <w:pStyle w:val="ListParagraph"/>
              <w:ind w:left="0"/>
              <w:jc w:val="right"/>
              <w:rPr>
                <w:sz w:val="18"/>
                <w:szCs w:val="18"/>
              </w:rPr>
            </w:pPr>
          </w:p>
        </w:tc>
        <w:tc>
          <w:tcPr>
            <w:tcW w:w="1134" w:type="dxa"/>
          </w:tcPr>
          <w:p w14:paraId="75C9F781" w14:textId="126C97C3" w:rsidR="00B77039" w:rsidRPr="00E24FB4" w:rsidRDefault="00B77039" w:rsidP="00CE2BAE">
            <w:pPr>
              <w:pStyle w:val="ListParagraph"/>
              <w:ind w:left="0"/>
              <w:jc w:val="right"/>
              <w:rPr>
                <w:sz w:val="18"/>
                <w:szCs w:val="18"/>
              </w:rPr>
            </w:pPr>
            <w:r w:rsidRPr="00E24FB4">
              <w:rPr>
                <w:sz w:val="18"/>
                <w:szCs w:val="18"/>
              </w:rPr>
              <w:t>27%</w:t>
            </w:r>
          </w:p>
        </w:tc>
        <w:tc>
          <w:tcPr>
            <w:tcW w:w="1985" w:type="dxa"/>
          </w:tcPr>
          <w:p w14:paraId="2CE42589" w14:textId="77777777" w:rsidR="00B77039" w:rsidRPr="00E24FB4" w:rsidRDefault="00B77039" w:rsidP="00CE2BAE">
            <w:pPr>
              <w:pStyle w:val="ListParagraph"/>
              <w:ind w:left="0"/>
              <w:jc w:val="right"/>
              <w:rPr>
                <w:sz w:val="18"/>
                <w:szCs w:val="18"/>
              </w:rPr>
            </w:pPr>
          </w:p>
        </w:tc>
        <w:tc>
          <w:tcPr>
            <w:tcW w:w="1417" w:type="dxa"/>
            <w:vAlign w:val="bottom"/>
          </w:tcPr>
          <w:p w14:paraId="6028F521" w14:textId="205D0DB9" w:rsidR="00B77039" w:rsidRPr="00E24FB4" w:rsidRDefault="00B77039" w:rsidP="00CE2BAE">
            <w:pPr>
              <w:pStyle w:val="ListParagraph"/>
              <w:ind w:left="0"/>
              <w:jc w:val="right"/>
              <w:rPr>
                <w:sz w:val="18"/>
                <w:szCs w:val="18"/>
              </w:rPr>
            </w:pPr>
            <w:r w:rsidRPr="00E24FB4">
              <w:rPr>
                <w:sz w:val="18"/>
                <w:szCs w:val="18"/>
              </w:rPr>
              <w:t>18%</w:t>
            </w:r>
          </w:p>
        </w:tc>
      </w:tr>
    </w:tbl>
    <w:p w14:paraId="591E41C4" w14:textId="5FD19202" w:rsidR="00F14BD1" w:rsidRPr="00E24FB4" w:rsidRDefault="00AD18C5" w:rsidP="00CE2BAE">
      <w:pPr>
        <w:rPr>
          <w:i/>
          <w:iCs/>
          <w:sz w:val="20"/>
          <w:szCs w:val="20"/>
        </w:rPr>
      </w:pPr>
      <w:r w:rsidRPr="00E24FB4">
        <w:rPr>
          <w:i/>
          <w:iCs/>
          <w:sz w:val="20"/>
          <w:szCs w:val="20"/>
        </w:rPr>
        <w:t>*Low due to high capex last 1-2 years</w:t>
      </w:r>
    </w:p>
    <w:p w14:paraId="592B8F85" w14:textId="77777777" w:rsidR="00415C95" w:rsidRPr="00E24FB4" w:rsidRDefault="00415C95" w:rsidP="00A73A9E">
      <w:pPr>
        <w:pStyle w:val="ListParagraph"/>
        <w:ind w:left="1440"/>
        <w:rPr>
          <w:sz w:val="20"/>
          <w:szCs w:val="20"/>
        </w:rPr>
      </w:pPr>
    </w:p>
    <w:p w14:paraId="4CB58E5B" w14:textId="79158135" w:rsidR="00A73A9E" w:rsidRPr="00E24FB4" w:rsidRDefault="00A73A9E" w:rsidP="00436A87">
      <w:pPr>
        <w:pStyle w:val="ListParagraph"/>
        <w:numPr>
          <w:ilvl w:val="0"/>
          <w:numId w:val="18"/>
        </w:numPr>
        <w:rPr>
          <w:sz w:val="20"/>
          <w:szCs w:val="20"/>
        </w:rPr>
      </w:pPr>
      <w:r w:rsidRPr="00E24FB4">
        <w:rPr>
          <w:b/>
          <w:bCs/>
          <w:sz w:val="20"/>
          <w:szCs w:val="20"/>
        </w:rPr>
        <w:t>Innovation – Medium</w:t>
      </w:r>
    </w:p>
    <w:p w14:paraId="6C2313CB" w14:textId="6BE82AA1" w:rsidR="00A73A9E" w:rsidRPr="00E24FB4" w:rsidRDefault="001505CC" w:rsidP="006A7A29">
      <w:pPr>
        <w:ind w:left="360"/>
        <w:rPr>
          <w:sz w:val="20"/>
          <w:szCs w:val="20"/>
        </w:rPr>
      </w:pPr>
      <w:r w:rsidRPr="00E24FB4">
        <w:rPr>
          <w:sz w:val="20"/>
          <w:szCs w:val="20"/>
        </w:rPr>
        <w:t>Patented CRAMs are a small % of overall sales (c. &lt; 10%).</w:t>
      </w:r>
    </w:p>
    <w:p w14:paraId="18BB51AD" w14:textId="77777777" w:rsidR="00136A61" w:rsidRPr="00E24FB4" w:rsidRDefault="00136A61" w:rsidP="00A73A9E">
      <w:pPr>
        <w:pStyle w:val="ListParagraph"/>
        <w:ind w:left="1440"/>
        <w:rPr>
          <w:sz w:val="20"/>
          <w:szCs w:val="20"/>
        </w:rPr>
      </w:pPr>
    </w:p>
    <w:p w14:paraId="6539284C" w14:textId="461A3F66" w:rsidR="00A73A9E" w:rsidRPr="00E24FB4" w:rsidRDefault="00A73A9E" w:rsidP="00436A87">
      <w:pPr>
        <w:pStyle w:val="ListParagraph"/>
        <w:numPr>
          <w:ilvl w:val="0"/>
          <w:numId w:val="18"/>
        </w:numPr>
        <w:rPr>
          <w:b/>
          <w:bCs/>
          <w:sz w:val="20"/>
          <w:szCs w:val="20"/>
        </w:rPr>
      </w:pPr>
      <w:r w:rsidRPr="00E24FB4">
        <w:rPr>
          <w:b/>
          <w:bCs/>
          <w:sz w:val="20"/>
          <w:szCs w:val="20"/>
        </w:rPr>
        <w:t xml:space="preserve">New Revenue Stream/ Geography – </w:t>
      </w:r>
      <w:r w:rsidR="00BB3AEC" w:rsidRPr="00E24FB4">
        <w:rPr>
          <w:b/>
          <w:bCs/>
          <w:sz w:val="20"/>
          <w:szCs w:val="20"/>
        </w:rPr>
        <w:t>Medium</w:t>
      </w:r>
    </w:p>
    <w:p w14:paraId="2161A017" w14:textId="64109CA8" w:rsidR="006D7215" w:rsidRPr="00E24FB4" w:rsidRDefault="00BB3AEC" w:rsidP="00436A87">
      <w:pPr>
        <w:pStyle w:val="ListParagraph"/>
        <w:numPr>
          <w:ilvl w:val="0"/>
          <w:numId w:val="19"/>
        </w:numPr>
        <w:rPr>
          <w:sz w:val="20"/>
          <w:szCs w:val="20"/>
        </w:rPr>
      </w:pPr>
      <w:r w:rsidRPr="00E24FB4">
        <w:rPr>
          <w:sz w:val="20"/>
          <w:szCs w:val="20"/>
        </w:rPr>
        <w:t xml:space="preserve">Expansion of CRAMS business through partnership with other </w:t>
      </w:r>
      <w:proofErr w:type="spellStart"/>
      <w:r w:rsidRPr="00E24FB4">
        <w:rPr>
          <w:sz w:val="20"/>
          <w:szCs w:val="20"/>
        </w:rPr>
        <w:t>agrochem</w:t>
      </w:r>
      <w:proofErr w:type="spellEnd"/>
      <w:r w:rsidRPr="00E24FB4">
        <w:rPr>
          <w:sz w:val="20"/>
          <w:szCs w:val="20"/>
        </w:rPr>
        <w:t xml:space="preserve"> MNCs like Nissan, aided by the China diversification factor</w:t>
      </w:r>
    </w:p>
    <w:p w14:paraId="259AAFEE" w14:textId="56623595" w:rsidR="00BB3AEC" w:rsidRPr="00E24FB4" w:rsidRDefault="00BB3AEC" w:rsidP="00436A87">
      <w:pPr>
        <w:pStyle w:val="ListParagraph"/>
        <w:numPr>
          <w:ilvl w:val="0"/>
          <w:numId w:val="19"/>
        </w:numPr>
        <w:rPr>
          <w:sz w:val="20"/>
          <w:szCs w:val="20"/>
        </w:rPr>
      </w:pPr>
      <w:r w:rsidRPr="00E24FB4">
        <w:rPr>
          <w:sz w:val="20"/>
          <w:szCs w:val="20"/>
        </w:rPr>
        <w:t>Increase in share of patented molecules</w:t>
      </w:r>
    </w:p>
    <w:p w14:paraId="52CA0A24" w14:textId="64A262A3" w:rsidR="00BB3AEC" w:rsidRPr="00E24FB4" w:rsidRDefault="00BB3AEC" w:rsidP="00436A87">
      <w:pPr>
        <w:pStyle w:val="ListParagraph"/>
        <w:numPr>
          <w:ilvl w:val="0"/>
          <w:numId w:val="19"/>
        </w:numPr>
        <w:rPr>
          <w:sz w:val="20"/>
          <w:szCs w:val="20"/>
        </w:rPr>
      </w:pPr>
      <w:r w:rsidRPr="00E24FB4">
        <w:rPr>
          <w:sz w:val="20"/>
          <w:szCs w:val="20"/>
        </w:rPr>
        <w:t>Higher exports in markets like Brazil where BRL is increasing its presence through more product registrations</w:t>
      </w:r>
    </w:p>
    <w:p w14:paraId="2653714D" w14:textId="77777777" w:rsidR="00136A61" w:rsidRPr="00E24FB4" w:rsidRDefault="00136A61" w:rsidP="00A73A9E">
      <w:pPr>
        <w:pStyle w:val="ListParagraph"/>
        <w:ind w:left="1440"/>
        <w:rPr>
          <w:sz w:val="20"/>
          <w:szCs w:val="20"/>
        </w:rPr>
      </w:pPr>
    </w:p>
    <w:p w14:paraId="6A2E5529" w14:textId="38073764" w:rsidR="00A73A9E" w:rsidRPr="00E24FB4" w:rsidRDefault="00A73A9E" w:rsidP="00436A87">
      <w:pPr>
        <w:pStyle w:val="ListParagraph"/>
        <w:numPr>
          <w:ilvl w:val="0"/>
          <w:numId w:val="18"/>
        </w:numPr>
        <w:rPr>
          <w:b/>
          <w:bCs/>
          <w:sz w:val="20"/>
          <w:szCs w:val="20"/>
        </w:rPr>
      </w:pPr>
      <w:r w:rsidRPr="00E24FB4">
        <w:rPr>
          <w:b/>
          <w:bCs/>
          <w:sz w:val="20"/>
          <w:szCs w:val="20"/>
        </w:rPr>
        <w:t>Value Chain Migration – Med</w:t>
      </w:r>
      <w:r w:rsidR="00AA622E" w:rsidRPr="00E24FB4">
        <w:rPr>
          <w:b/>
          <w:bCs/>
          <w:sz w:val="20"/>
          <w:szCs w:val="20"/>
        </w:rPr>
        <w:t>ium</w:t>
      </w:r>
    </w:p>
    <w:p w14:paraId="2D244DB0" w14:textId="77777777" w:rsidR="006F5F7F" w:rsidRPr="00E24FB4" w:rsidRDefault="006F5F7F" w:rsidP="00BC1C5E">
      <w:pPr>
        <w:rPr>
          <w:sz w:val="20"/>
          <w:szCs w:val="20"/>
        </w:rPr>
      </w:pPr>
      <w:r w:rsidRPr="00E24FB4">
        <w:rPr>
          <w:sz w:val="20"/>
          <w:szCs w:val="20"/>
        </w:rPr>
        <w:t>As explained earlier, higher share of (a) CRAMs business and (b) Patented molecules</w:t>
      </w:r>
    </w:p>
    <w:p w14:paraId="45460E88" w14:textId="77777777" w:rsidR="00136A61" w:rsidRPr="00E24FB4" w:rsidRDefault="00136A61" w:rsidP="00A73A9E">
      <w:pPr>
        <w:pStyle w:val="ListParagraph"/>
        <w:ind w:left="1440"/>
        <w:rPr>
          <w:sz w:val="20"/>
          <w:szCs w:val="20"/>
        </w:rPr>
      </w:pPr>
    </w:p>
    <w:p w14:paraId="2BA854D8" w14:textId="0491CB8E" w:rsidR="00A73A9E" w:rsidRPr="00E24FB4" w:rsidRDefault="00A73A9E" w:rsidP="00436A87">
      <w:pPr>
        <w:pStyle w:val="ListParagraph"/>
        <w:numPr>
          <w:ilvl w:val="0"/>
          <w:numId w:val="18"/>
        </w:numPr>
        <w:rPr>
          <w:b/>
          <w:bCs/>
          <w:sz w:val="20"/>
          <w:szCs w:val="20"/>
        </w:rPr>
      </w:pPr>
      <w:r w:rsidRPr="00E24FB4">
        <w:rPr>
          <w:b/>
          <w:bCs/>
          <w:sz w:val="20"/>
          <w:szCs w:val="20"/>
        </w:rPr>
        <w:t xml:space="preserve">Strategic Thinking – </w:t>
      </w:r>
      <w:r w:rsidR="00C94FAD" w:rsidRPr="00E24FB4">
        <w:rPr>
          <w:b/>
          <w:bCs/>
          <w:sz w:val="20"/>
          <w:szCs w:val="20"/>
        </w:rPr>
        <w:t xml:space="preserve">High </w:t>
      </w:r>
    </w:p>
    <w:p w14:paraId="2B74083A" w14:textId="05D64E73" w:rsidR="00431934" w:rsidRPr="00E24FB4" w:rsidRDefault="00BC1C5E" w:rsidP="00436A87">
      <w:pPr>
        <w:pStyle w:val="ListParagraph"/>
        <w:numPr>
          <w:ilvl w:val="0"/>
          <w:numId w:val="20"/>
        </w:numPr>
        <w:rPr>
          <w:sz w:val="20"/>
          <w:szCs w:val="20"/>
        </w:rPr>
      </w:pPr>
      <w:r w:rsidRPr="00E24FB4">
        <w:rPr>
          <w:sz w:val="20"/>
          <w:szCs w:val="20"/>
        </w:rPr>
        <w:t xml:space="preserve">Plant designs are strategically planned keeping future expansions in mind </w:t>
      </w:r>
      <w:proofErr w:type="spellStart"/>
      <w:r w:rsidRPr="00E24FB4">
        <w:rPr>
          <w:sz w:val="20"/>
          <w:szCs w:val="20"/>
        </w:rPr>
        <w:t>eg.</w:t>
      </w:r>
      <w:proofErr w:type="spellEnd"/>
      <w:r w:rsidRPr="00E24FB4">
        <w:rPr>
          <w:sz w:val="20"/>
          <w:szCs w:val="20"/>
        </w:rPr>
        <w:t xml:space="preserve"> newer molecules, backward integration, technology etc and overall strict compliance to environmental standards etc. keeping the </w:t>
      </w:r>
      <w:proofErr w:type="spellStart"/>
      <w:r w:rsidRPr="00E24FB4">
        <w:rPr>
          <w:sz w:val="20"/>
          <w:szCs w:val="20"/>
        </w:rPr>
        <w:t>agrochem</w:t>
      </w:r>
      <w:proofErr w:type="spellEnd"/>
      <w:r w:rsidRPr="00E24FB4">
        <w:rPr>
          <w:sz w:val="20"/>
          <w:szCs w:val="20"/>
        </w:rPr>
        <w:t xml:space="preserve"> MNCs in mind</w:t>
      </w:r>
    </w:p>
    <w:p w14:paraId="6BA03D6C" w14:textId="5B3D36E0" w:rsidR="00BC1C5E" w:rsidRPr="00A37281" w:rsidRDefault="00BC1C5E" w:rsidP="00436A87">
      <w:pPr>
        <w:pStyle w:val="ListParagraph"/>
        <w:numPr>
          <w:ilvl w:val="0"/>
          <w:numId w:val="20"/>
        </w:numPr>
        <w:rPr>
          <w:sz w:val="20"/>
          <w:szCs w:val="20"/>
        </w:rPr>
      </w:pPr>
      <w:r w:rsidRPr="00E24FB4">
        <w:rPr>
          <w:sz w:val="20"/>
          <w:szCs w:val="20"/>
        </w:rPr>
        <w:t>Forward planning &amp; Backward integration – Company is actively working on backward integration to meet the like</w:t>
      </w:r>
      <w:r w:rsidRPr="00A37281">
        <w:rPr>
          <w:sz w:val="20"/>
          <w:szCs w:val="20"/>
        </w:rPr>
        <w:t xml:space="preserve">ly requirements of MNCs of a supply chain independent of China. Also, wants to expand presence </w:t>
      </w:r>
      <w:r w:rsidR="000758FD" w:rsidRPr="00A37281">
        <w:rPr>
          <w:sz w:val="20"/>
          <w:szCs w:val="20"/>
        </w:rPr>
        <w:t>into patented CSM business which offers higher profitability</w:t>
      </w:r>
      <w:r w:rsidRPr="00A37281">
        <w:rPr>
          <w:sz w:val="20"/>
          <w:szCs w:val="20"/>
        </w:rPr>
        <w:t xml:space="preserve"> aspiring to be like a PI Industries.</w:t>
      </w:r>
    </w:p>
    <w:p w14:paraId="065FE4FE" w14:textId="0D7CA177" w:rsidR="00BF6179" w:rsidRPr="00E24FB4" w:rsidRDefault="00BF6179" w:rsidP="00436A87">
      <w:pPr>
        <w:pStyle w:val="ListParagraph"/>
        <w:numPr>
          <w:ilvl w:val="0"/>
          <w:numId w:val="20"/>
        </w:numPr>
        <w:rPr>
          <w:sz w:val="20"/>
          <w:szCs w:val="20"/>
        </w:rPr>
      </w:pPr>
      <w:r w:rsidRPr="00E24FB4">
        <w:rPr>
          <w:sz w:val="20"/>
          <w:szCs w:val="20"/>
        </w:rPr>
        <w:t>Relationship building – Ability to nurture customers and build strategic partnerships like Nissan – which are long term and sticky in nature – thereby establishing business longevity.</w:t>
      </w:r>
    </w:p>
    <w:p w14:paraId="672CB517" w14:textId="77777777" w:rsidR="00136A61" w:rsidRPr="00E24FB4" w:rsidRDefault="00136A61" w:rsidP="00A73A9E">
      <w:pPr>
        <w:pStyle w:val="ListParagraph"/>
        <w:ind w:left="1440"/>
        <w:rPr>
          <w:sz w:val="20"/>
          <w:szCs w:val="20"/>
        </w:rPr>
      </w:pPr>
    </w:p>
    <w:p w14:paraId="392C13A4" w14:textId="591EA3E0" w:rsidR="00A73A9E" w:rsidRPr="00E24FB4" w:rsidRDefault="00A73A9E" w:rsidP="00436A87">
      <w:pPr>
        <w:pStyle w:val="ListParagraph"/>
        <w:numPr>
          <w:ilvl w:val="0"/>
          <w:numId w:val="18"/>
        </w:numPr>
        <w:rPr>
          <w:b/>
          <w:bCs/>
          <w:sz w:val="20"/>
          <w:szCs w:val="20"/>
        </w:rPr>
      </w:pPr>
      <w:r w:rsidRPr="00E24FB4">
        <w:rPr>
          <w:b/>
          <w:bCs/>
          <w:sz w:val="20"/>
          <w:szCs w:val="20"/>
        </w:rPr>
        <w:t xml:space="preserve">Ability to manage downturns – </w:t>
      </w:r>
      <w:r w:rsidR="002C2741" w:rsidRPr="00E24FB4">
        <w:rPr>
          <w:b/>
          <w:bCs/>
          <w:sz w:val="20"/>
          <w:szCs w:val="20"/>
        </w:rPr>
        <w:t>Can’t say</w:t>
      </w:r>
    </w:p>
    <w:p w14:paraId="40594A97" w14:textId="41726DC8" w:rsidR="00777FFC" w:rsidRPr="00E24FB4" w:rsidRDefault="00777FFC" w:rsidP="00777FFC">
      <w:pPr>
        <w:pStyle w:val="ListParagraph"/>
        <w:rPr>
          <w:sz w:val="20"/>
          <w:szCs w:val="20"/>
        </w:rPr>
      </w:pPr>
      <w:r w:rsidRPr="00E24FB4">
        <w:rPr>
          <w:sz w:val="20"/>
          <w:szCs w:val="20"/>
        </w:rPr>
        <w:t xml:space="preserve">The company has managed well during demonetisation, or when global </w:t>
      </w:r>
      <w:proofErr w:type="spellStart"/>
      <w:r w:rsidRPr="00E24FB4">
        <w:rPr>
          <w:sz w:val="20"/>
          <w:szCs w:val="20"/>
        </w:rPr>
        <w:t>agrochem</w:t>
      </w:r>
      <w:proofErr w:type="spellEnd"/>
      <w:r w:rsidRPr="00E24FB4">
        <w:rPr>
          <w:sz w:val="20"/>
          <w:szCs w:val="20"/>
        </w:rPr>
        <w:t xml:space="preserve"> industry witnessed a slowdown. However there have no major downturns and hence this cannot be commented on.</w:t>
      </w:r>
    </w:p>
    <w:p w14:paraId="6C4258F0" w14:textId="185E3355" w:rsidR="001F2A8E" w:rsidRPr="00E24FB4" w:rsidRDefault="001F2A8E" w:rsidP="00777FFC">
      <w:pPr>
        <w:pStyle w:val="ListParagraph"/>
        <w:ind w:left="1440"/>
        <w:rPr>
          <w:sz w:val="20"/>
          <w:szCs w:val="20"/>
        </w:rPr>
      </w:pPr>
    </w:p>
    <w:p w14:paraId="628DE49B" w14:textId="75D9C294" w:rsidR="00CE7EAB" w:rsidRPr="00E24FB4" w:rsidRDefault="00CE7EAB" w:rsidP="00436A87">
      <w:pPr>
        <w:pStyle w:val="ListParagraph"/>
        <w:numPr>
          <w:ilvl w:val="0"/>
          <w:numId w:val="2"/>
        </w:numPr>
        <w:rPr>
          <w:b/>
          <w:bCs/>
          <w:sz w:val="20"/>
          <w:szCs w:val="20"/>
        </w:rPr>
      </w:pPr>
      <w:r w:rsidRPr="00E24FB4">
        <w:rPr>
          <w:b/>
          <w:bCs/>
          <w:sz w:val="20"/>
          <w:szCs w:val="20"/>
        </w:rPr>
        <w:t>Execution Skills</w:t>
      </w:r>
    </w:p>
    <w:p w14:paraId="3E0A8CFF" w14:textId="77777777" w:rsidR="00A746D3" w:rsidRPr="00E24FB4" w:rsidRDefault="00A746D3" w:rsidP="00A746D3">
      <w:pPr>
        <w:pStyle w:val="ListParagraph"/>
        <w:rPr>
          <w:b/>
          <w:bCs/>
          <w:sz w:val="20"/>
          <w:szCs w:val="20"/>
        </w:rPr>
      </w:pPr>
    </w:p>
    <w:p w14:paraId="7887F422" w14:textId="09F28749" w:rsidR="00CE7EAB" w:rsidRPr="00E24FB4" w:rsidRDefault="00CE7EAB" w:rsidP="00436A87">
      <w:pPr>
        <w:pStyle w:val="ListParagraph"/>
        <w:numPr>
          <w:ilvl w:val="0"/>
          <w:numId w:val="21"/>
        </w:numPr>
        <w:rPr>
          <w:b/>
          <w:bCs/>
          <w:sz w:val="20"/>
          <w:szCs w:val="20"/>
        </w:rPr>
      </w:pPr>
      <w:r w:rsidRPr="00E24FB4">
        <w:rPr>
          <w:b/>
          <w:bCs/>
          <w:sz w:val="20"/>
          <w:szCs w:val="20"/>
        </w:rPr>
        <w:t xml:space="preserve">Workforce Handling – </w:t>
      </w:r>
      <w:r w:rsidR="005F3B64">
        <w:rPr>
          <w:b/>
          <w:bCs/>
          <w:sz w:val="20"/>
          <w:szCs w:val="20"/>
        </w:rPr>
        <w:t>High</w:t>
      </w:r>
    </w:p>
    <w:p w14:paraId="00163756" w14:textId="60F173D5" w:rsidR="003D503B" w:rsidRPr="00E24FB4" w:rsidRDefault="003D503B" w:rsidP="003D503B">
      <w:pPr>
        <w:pStyle w:val="ListParagraph"/>
        <w:ind w:left="360"/>
        <w:rPr>
          <w:sz w:val="20"/>
          <w:szCs w:val="20"/>
        </w:rPr>
      </w:pPr>
      <w:r w:rsidRPr="00E24FB4">
        <w:rPr>
          <w:sz w:val="20"/>
          <w:szCs w:val="20"/>
        </w:rPr>
        <w:t>Plant is well designed with emphasis on employee safety</w:t>
      </w:r>
      <w:r w:rsidR="005F3B64">
        <w:rPr>
          <w:sz w:val="20"/>
          <w:szCs w:val="20"/>
        </w:rPr>
        <w:t xml:space="preserve"> evident in certifications</w:t>
      </w:r>
      <w:r w:rsidRPr="00E24FB4">
        <w:rPr>
          <w:sz w:val="20"/>
          <w:szCs w:val="20"/>
        </w:rPr>
        <w:t>.</w:t>
      </w:r>
    </w:p>
    <w:p w14:paraId="5E838E8A" w14:textId="77777777" w:rsidR="00CE7EAB" w:rsidRPr="00E24FB4" w:rsidRDefault="00CE7EAB" w:rsidP="00CE7EAB">
      <w:pPr>
        <w:pStyle w:val="ListParagraph"/>
        <w:ind w:left="1440"/>
        <w:rPr>
          <w:sz w:val="20"/>
          <w:szCs w:val="20"/>
        </w:rPr>
      </w:pPr>
    </w:p>
    <w:p w14:paraId="7800399E" w14:textId="77777777" w:rsidR="00CE7EAB" w:rsidRPr="00E24FB4" w:rsidRDefault="00CE7EAB" w:rsidP="00436A87">
      <w:pPr>
        <w:pStyle w:val="ListParagraph"/>
        <w:numPr>
          <w:ilvl w:val="0"/>
          <w:numId w:val="21"/>
        </w:numPr>
        <w:rPr>
          <w:b/>
          <w:bCs/>
          <w:sz w:val="20"/>
          <w:szCs w:val="20"/>
        </w:rPr>
      </w:pPr>
      <w:r w:rsidRPr="00E24FB4">
        <w:rPr>
          <w:b/>
          <w:bCs/>
          <w:sz w:val="20"/>
          <w:szCs w:val="20"/>
        </w:rPr>
        <w:t>Customer Trust/Win – High</w:t>
      </w:r>
    </w:p>
    <w:p w14:paraId="2D370F90" w14:textId="53E1CD82" w:rsidR="0075181C" w:rsidRPr="00E24FB4" w:rsidRDefault="0075181C" w:rsidP="003D503B">
      <w:pPr>
        <w:ind w:left="360"/>
        <w:rPr>
          <w:sz w:val="20"/>
          <w:szCs w:val="20"/>
        </w:rPr>
      </w:pPr>
      <w:r w:rsidRPr="00E24FB4">
        <w:rPr>
          <w:sz w:val="20"/>
          <w:szCs w:val="20"/>
        </w:rPr>
        <w:t>Successful track record evidenced in CRAMS success with Nissan</w:t>
      </w:r>
    </w:p>
    <w:p w14:paraId="1895E79E" w14:textId="77777777" w:rsidR="0075181C" w:rsidRPr="00E24FB4" w:rsidRDefault="0075181C" w:rsidP="003D503B">
      <w:pPr>
        <w:ind w:left="360"/>
        <w:rPr>
          <w:sz w:val="20"/>
          <w:szCs w:val="20"/>
        </w:rPr>
      </w:pPr>
    </w:p>
    <w:p w14:paraId="66D5D427" w14:textId="27B14A2A" w:rsidR="00CE7EAB" w:rsidRPr="00E24FB4" w:rsidRDefault="00CE7EAB" w:rsidP="00436A87">
      <w:pPr>
        <w:pStyle w:val="ListParagraph"/>
        <w:numPr>
          <w:ilvl w:val="0"/>
          <w:numId w:val="21"/>
        </w:numPr>
        <w:rPr>
          <w:b/>
          <w:bCs/>
          <w:sz w:val="20"/>
          <w:szCs w:val="20"/>
        </w:rPr>
      </w:pPr>
      <w:r w:rsidRPr="00E24FB4">
        <w:rPr>
          <w:b/>
          <w:bCs/>
          <w:sz w:val="20"/>
          <w:szCs w:val="20"/>
        </w:rPr>
        <w:t xml:space="preserve">Deeper/Broader customer penetration – </w:t>
      </w:r>
      <w:r w:rsidR="008F7571" w:rsidRPr="00E24FB4">
        <w:rPr>
          <w:b/>
          <w:bCs/>
          <w:sz w:val="20"/>
          <w:szCs w:val="20"/>
        </w:rPr>
        <w:t>High</w:t>
      </w:r>
    </w:p>
    <w:p w14:paraId="3438CF09" w14:textId="385D1E47" w:rsidR="00CE7EAB" w:rsidRPr="00E24FB4" w:rsidRDefault="008F7571" w:rsidP="008F7571">
      <w:pPr>
        <w:pStyle w:val="ListParagraph"/>
        <w:ind w:left="360"/>
        <w:rPr>
          <w:sz w:val="20"/>
          <w:szCs w:val="20"/>
        </w:rPr>
      </w:pPr>
      <w:r w:rsidRPr="00E24FB4">
        <w:rPr>
          <w:sz w:val="20"/>
          <w:szCs w:val="20"/>
        </w:rPr>
        <w:lastRenderedPageBreak/>
        <w:t>As highlighted earlier, successful track record of delivery so far with its clients -with the objective of upgrading them to strategic partnerships</w:t>
      </w:r>
    </w:p>
    <w:p w14:paraId="0BBFAFE8" w14:textId="77777777" w:rsidR="007970A7" w:rsidRPr="00E24FB4" w:rsidRDefault="007970A7" w:rsidP="00CE7EAB">
      <w:pPr>
        <w:pStyle w:val="ListParagraph"/>
        <w:ind w:left="1440"/>
        <w:rPr>
          <w:sz w:val="20"/>
          <w:szCs w:val="20"/>
        </w:rPr>
      </w:pPr>
    </w:p>
    <w:p w14:paraId="53CC1E76" w14:textId="7F7B7A70" w:rsidR="00CE7EAB" w:rsidRPr="00E24FB4" w:rsidRDefault="004E33DC" w:rsidP="00436A87">
      <w:pPr>
        <w:pStyle w:val="ListParagraph"/>
        <w:numPr>
          <w:ilvl w:val="0"/>
          <w:numId w:val="21"/>
        </w:numPr>
        <w:rPr>
          <w:b/>
          <w:bCs/>
          <w:sz w:val="20"/>
          <w:szCs w:val="20"/>
        </w:rPr>
      </w:pPr>
      <w:r w:rsidRPr="00E24FB4">
        <w:rPr>
          <w:b/>
          <w:bCs/>
          <w:sz w:val="20"/>
          <w:szCs w:val="20"/>
        </w:rPr>
        <w:t xml:space="preserve">Supply chain management- </w:t>
      </w:r>
      <w:r w:rsidR="00904EA6" w:rsidRPr="00E24FB4">
        <w:rPr>
          <w:b/>
          <w:bCs/>
          <w:sz w:val="20"/>
          <w:szCs w:val="20"/>
        </w:rPr>
        <w:t>Medium</w:t>
      </w:r>
    </w:p>
    <w:p w14:paraId="522795C5" w14:textId="78158703" w:rsidR="004E33DC" w:rsidRPr="00E24FB4" w:rsidRDefault="004E33DC" w:rsidP="00436A87">
      <w:pPr>
        <w:pStyle w:val="ListParagraph"/>
        <w:numPr>
          <w:ilvl w:val="0"/>
          <w:numId w:val="23"/>
        </w:numPr>
        <w:rPr>
          <w:sz w:val="20"/>
          <w:szCs w:val="20"/>
        </w:rPr>
      </w:pPr>
      <w:r w:rsidRPr="00E24FB4">
        <w:rPr>
          <w:sz w:val="20"/>
          <w:szCs w:val="20"/>
        </w:rPr>
        <w:t>Identified China risk and initiated backward integration to mitigate this</w:t>
      </w:r>
    </w:p>
    <w:p w14:paraId="6CE982A3" w14:textId="6E342FF6" w:rsidR="004E33DC" w:rsidRPr="00E24FB4" w:rsidRDefault="0090386E" w:rsidP="00436A87">
      <w:pPr>
        <w:pStyle w:val="ListParagraph"/>
        <w:numPr>
          <w:ilvl w:val="0"/>
          <w:numId w:val="23"/>
        </w:numPr>
        <w:rPr>
          <w:sz w:val="20"/>
          <w:szCs w:val="20"/>
        </w:rPr>
      </w:pPr>
      <w:r w:rsidRPr="00E24FB4">
        <w:rPr>
          <w:sz w:val="20"/>
          <w:szCs w:val="20"/>
        </w:rPr>
        <w:t>Efficiency in domestic operations - p</w:t>
      </w:r>
      <w:r w:rsidR="004E33DC" w:rsidRPr="00E24FB4">
        <w:rPr>
          <w:sz w:val="20"/>
          <w:szCs w:val="20"/>
        </w:rPr>
        <w:t xml:space="preserve">ay </w:t>
      </w:r>
      <w:r w:rsidR="004C068D" w:rsidRPr="00E24FB4">
        <w:rPr>
          <w:sz w:val="20"/>
          <w:szCs w:val="20"/>
        </w:rPr>
        <w:t xml:space="preserve">domestic </w:t>
      </w:r>
      <w:r w:rsidR="004E33DC" w:rsidRPr="00E24FB4">
        <w:rPr>
          <w:sz w:val="20"/>
          <w:szCs w:val="20"/>
        </w:rPr>
        <w:t xml:space="preserve">suppliers upfront to ensure supplier loyalty </w:t>
      </w:r>
      <w:r w:rsidR="004C068D" w:rsidRPr="00E24FB4">
        <w:rPr>
          <w:sz w:val="20"/>
          <w:szCs w:val="20"/>
        </w:rPr>
        <w:t xml:space="preserve">in exchange of discounts </w:t>
      </w:r>
    </w:p>
    <w:p w14:paraId="6320D61E" w14:textId="5610671B" w:rsidR="00EC2036" w:rsidRPr="00E24FB4" w:rsidRDefault="00EC2036" w:rsidP="00436A87">
      <w:pPr>
        <w:pStyle w:val="ListParagraph"/>
        <w:numPr>
          <w:ilvl w:val="0"/>
          <w:numId w:val="23"/>
        </w:numPr>
        <w:rPr>
          <w:sz w:val="20"/>
          <w:szCs w:val="20"/>
        </w:rPr>
      </w:pPr>
      <w:r w:rsidRPr="00E24FB4">
        <w:rPr>
          <w:sz w:val="20"/>
          <w:szCs w:val="20"/>
        </w:rPr>
        <w:t xml:space="preserve">Carry adequate </w:t>
      </w:r>
      <w:r w:rsidR="00A854D6" w:rsidRPr="00E24FB4">
        <w:rPr>
          <w:sz w:val="20"/>
          <w:szCs w:val="20"/>
        </w:rPr>
        <w:t>inventory</w:t>
      </w:r>
    </w:p>
    <w:p w14:paraId="0630F8C6" w14:textId="77777777" w:rsidR="004E33DC" w:rsidRPr="00E24FB4" w:rsidRDefault="004E33DC" w:rsidP="004E33DC">
      <w:pPr>
        <w:ind w:left="360"/>
        <w:rPr>
          <w:b/>
          <w:bCs/>
          <w:sz w:val="20"/>
          <w:szCs w:val="20"/>
        </w:rPr>
      </w:pPr>
    </w:p>
    <w:p w14:paraId="3ADD66B8" w14:textId="77777777" w:rsidR="00CE7EAB" w:rsidRPr="00E24FB4" w:rsidRDefault="00CE7EAB" w:rsidP="00436A87">
      <w:pPr>
        <w:pStyle w:val="ListParagraph"/>
        <w:numPr>
          <w:ilvl w:val="0"/>
          <w:numId w:val="2"/>
        </w:numPr>
        <w:rPr>
          <w:sz w:val="20"/>
          <w:szCs w:val="20"/>
        </w:rPr>
      </w:pPr>
      <w:r w:rsidRPr="00E24FB4">
        <w:rPr>
          <w:b/>
          <w:bCs/>
          <w:sz w:val="20"/>
          <w:szCs w:val="20"/>
        </w:rPr>
        <w:t>Reputation</w:t>
      </w:r>
    </w:p>
    <w:p w14:paraId="5ABA6720" w14:textId="41605B0E" w:rsidR="00CE7EAB" w:rsidRPr="00E24FB4" w:rsidRDefault="00CE7EAB" w:rsidP="00436A87">
      <w:pPr>
        <w:pStyle w:val="ListParagraph"/>
        <w:numPr>
          <w:ilvl w:val="0"/>
          <w:numId w:val="22"/>
        </w:numPr>
        <w:rPr>
          <w:b/>
          <w:bCs/>
          <w:sz w:val="20"/>
          <w:szCs w:val="20"/>
        </w:rPr>
      </w:pPr>
      <w:r w:rsidRPr="00E24FB4">
        <w:rPr>
          <w:b/>
          <w:bCs/>
          <w:sz w:val="20"/>
          <w:szCs w:val="20"/>
        </w:rPr>
        <w:t>Family Business</w:t>
      </w:r>
      <w:r w:rsidR="00093CE4" w:rsidRPr="00E24FB4">
        <w:rPr>
          <w:b/>
          <w:bCs/>
          <w:sz w:val="20"/>
          <w:szCs w:val="20"/>
        </w:rPr>
        <w:t xml:space="preserve"> – </w:t>
      </w:r>
      <w:r w:rsidR="00DE63FF" w:rsidRPr="00E24FB4">
        <w:rPr>
          <w:b/>
          <w:bCs/>
          <w:sz w:val="20"/>
          <w:szCs w:val="20"/>
        </w:rPr>
        <w:t>High</w:t>
      </w:r>
    </w:p>
    <w:p w14:paraId="56C18901" w14:textId="77777777" w:rsidR="00AD39E1" w:rsidRPr="00E24FB4" w:rsidRDefault="00AD39E1" w:rsidP="00AD39E1">
      <w:pPr>
        <w:ind w:left="360"/>
        <w:rPr>
          <w:sz w:val="20"/>
          <w:szCs w:val="20"/>
        </w:rPr>
      </w:pPr>
      <w:r w:rsidRPr="00E24FB4">
        <w:rPr>
          <w:sz w:val="20"/>
          <w:szCs w:val="20"/>
        </w:rPr>
        <w:t xml:space="preserve">SN Gupta – Chairman and Managing Director has four decades of experience in the industry </w:t>
      </w:r>
    </w:p>
    <w:p w14:paraId="3C131F00" w14:textId="14A8BB8C" w:rsidR="00CE7EAB" w:rsidRDefault="009424AA" w:rsidP="009424AA">
      <w:pPr>
        <w:pStyle w:val="ListParagraph"/>
        <w:ind w:left="360"/>
        <w:rPr>
          <w:sz w:val="20"/>
          <w:szCs w:val="20"/>
        </w:rPr>
      </w:pPr>
      <w:r w:rsidRPr="00E24FB4">
        <w:rPr>
          <w:sz w:val="20"/>
          <w:szCs w:val="20"/>
        </w:rPr>
        <w:t>RP Gupta with 30 years+ experience currently handling the R&amp;D and production activities</w:t>
      </w:r>
    </w:p>
    <w:p w14:paraId="282FA102" w14:textId="7CD83B83" w:rsidR="005F3B64" w:rsidRPr="00E24FB4" w:rsidRDefault="005F3B64" w:rsidP="009424AA">
      <w:pPr>
        <w:pStyle w:val="ListParagraph"/>
        <w:ind w:left="360"/>
        <w:rPr>
          <w:sz w:val="20"/>
          <w:szCs w:val="20"/>
        </w:rPr>
      </w:pPr>
      <w:r>
        <w:rPr>
          <w:sz w:val="20"/>
          <w:szCs w:val="20"/>
        </w:rPr>
        <w:t>Competitors rate them with high integrity, high technical capabilities and have strong relationships with customers/vendors.</w:t>
      </w:r>
    </w:p>
    <w:p w14:paraId="1DE63B08" w14:textId="631E18C2" w:rsidR="009424AA" w:rsidRPr="005F3B64" w:rsidRDefault="009424AA" w:rsidP="005F3B64">
      <w:pPr>
        <w:rPr>
          <w:sz w:val="20"/>
          <w:szCs w:val="20"/>
        </w:rPr>
      </w:pPr>
    </w:p>
    <w:p w14:paraId="41199419" w14:textId="47EE0BE5" w:rsidR="00CE7EAB" w:rsidRPr="00E24FB4" w:rsidRDefault="00CE7EAB" w:rsidP="00436A87">
      <w:pPr>
        <w:pStyle w:val="ListParagraph"/>
        <w:numPr>
          <w:ilvl w:val="0"/>
          <w:numId w:val="22"/>
        </w:numPr>
        <w:rPr>
          <w:b/>
          <w:bCs/>
          <w:sz w:val="20"/>
          <w:szCs w:val="20"/>
        </w:rPr>
      </w:pPr>
      <w:r w:rsidRPr="00E24FB4">
        <w:rPr>
          <w:b/>
          <w:bCs/>
          <w:sz w:val="20"/>
          <w:szCs w:val="20"/>
        </w:rPr>
        <w:t>Minority Shareholder Treatment</w:t>
      </w:r>
      <w:r w:rsidR="00093CE4" w:rsidRPr="00E24FB4">
        <w:rPr>
          <w:b/>
          <w:bCs/>
          <w:sz w:val="20"/>
          <w:szCs w:val="20"/>
        </w:rPr>
        <w:t xml:space="preserve"> - </w:t>
      </w:r>
      <w:r w:rsidR="009F6D6C" w:rsidRPr="00E24FB4">
        <w:rPr>
          <w:b/>
          <w:bCs/>
          <w:sz w:val="20"/>
          <w:szCs w:val="20"/>
        </w:rPr>
        <w:t>Low</w:t>
      </w:r>
    </w:p>
    <w:p w14:paraId="15119AB0" w14:textId="77777777" w:rsidR="0000364A" w:rsidRPr="00E24FB4" w:rsidRDefault="0000364A" w:rsidP="00436A87">
      <w:pPr>
        <w:pStyle w:val="ListParagraph"/>
        <w:numPr>
          <w:ilvl w:val="0"/>
          <w:numId w:val="24"/>
        </w:numPr>
        <w:rPr>
          <w:sz w:val="20"/>
          <w:szCs w:val="20"/>
        </w:rPr>
      </w:pPr>
      <w:r w:rsidRPr="00E24FB4">
        <w:rPr>
          <w:sz w:val="20"/>
          <w:szCs w:val="20"/>
        </w:rPr>
        <w:t>Dividends are very low (can be called fair given they are in expansion stage, have debt)</w:t>
      </w:r>
    </w:p>
    <w:p w14:paraId="7784514F" w14:textId="04E65CBA" w:rsidR="0000364A" w:rsidRPr="00E24FB4" w:rsidRDefault="0000364A" w:rsidP="00436A87">
      <w:pPr>
        <w:pStyle w:val="ListParagraph"/>
        <w:numPr>
          <w:ilvl w:val="0"/>
          <w:numId w:val="24"/>
        </w:numPr>
        <w:rPr>
          <w:sz w:val="20"/>
          <w:szCs w:val="20"/>
        </w:rPr>
      </w:pPr>
      <w:r w:rsidRPr="00E24FB4">
        <w:rPr>
          <w:sz w:val="20"/>
          <w:szCs w:val="20"/>
        </w:rPr>
        <w:t>Management does not share information, no investor calls etc.</w:t>
      </w:r>
    </w:p>
    <w:p w14:paraId="148004E5" w14:textId="77777777" w:rsidR="0000364A" w:rsidRPr="00E24FB4" w:rsidRDefault="0000364A" w:rsidP="00CE7EAB">
      <w:pPr>
        <w:pStyle w:val="ListParagraph"/>
        <w:ind w:left="1440"/>
        <w:rPr>
          <w:sz w:val="20"/>
          <w:szCs w:val="20"/>
        </w:rPr>
      </w:pPr>
    </w:p>
    <w:p w14:paraId="55F64B40" w14:textId="65445BF2" w:rsidR="00CE7EAB" w:rsidRPr="00E24FB4" w:rsidRDefault="00CE7EAB" w:rsidP="00436A87">
      <w:pPr>
        <w:pStyle w:val="ListParagraph"/>
        <w:numPr>
          <w:ilvl w:val="0"/>
          <w:numId w:val="22"/>
        </w:numPr>
        <w:rPr>
          <w:b/>
          <w:bCs/>
          <w:sz w:val="20"/>
          <w:szCs w:val="20"/>
        </w:rPr>
      </w:pPr>
      <w:r w:rsidRPr="00E24FB4">
        <w:rPr>
          <w:b/>
          <w:bCs/>
          <w:sz w:val="20"/>
          <w:szCs w:val="20"/>
        </w:rPr>
        <w:t xml:space="preserve">Corp. Governance – </w:t>
      </w:r>
      <w:r w:rsidR="005F47AC" w:rsidRPr="00E24FB4">
        <w:rPr>
          <w:b/>
          <w:bCs/>
          <w:sz w:val="20"/>
          <w:szCs w:val="20"/>
        </w:rPr>
        <w:t>Low</w:t>
      </w:r>
    </w:p>
    <w:p w14:paraId="0AE4F200" w14:textId="20A4C987" w:rsidR="005B35B8" w:rsidRPr="00E24FB4" w:rsidRDefault="005B35B8" w:rsidP="00436A87">
      <w:pPr>
        <w:pStyle w:val="ListParagraph"/>
        <w:numPr>
          <w:ilvl w:val="0"/>
          <w:numId w:val="25"/>
        </w:numPr>
        <w:rPr>
          <w:sz w:val="20"/>
          <w:szCs w:val="20"/>
        </w:rPr>
      </w:pPr>
      <w:r w:rsidRPr="00E24FB4">
        <w:rPr>
          <w:sz w:val="20"/>
          <w:szCs w:val="20"/>
        </w:rPr>
        <w:t>Related party dealings – sells technical to promoters</w:t>
      </w:r>
      <w:r w:rsidR="00D20E9F">
        <w:rPr>
          <w:sz w:val="20"/>
          <w:szCs w:val="20"/>
        </w:rPr>
        <w:t>’</w:t>
      </w:r>
      <w:r w:rsidRPr="00E24FB4">
        <w:rPr>
          <w:sz w:val="20"/>
          <w:szCs w:val="20"/>
        </w:rPr>
        <w:t xml:space="preserve"> companies at arms</w:t>
      </w:r>
      <w:r w:rsidR="00D20E9F">
        <w:rPr>
          <w:sz w:val="20"/>
          <w:szCs w:val="20"/>
        </w:rPr>
        <w:t>-</w:t>
      </w:r>
      <w:r w:rsidRPr="00E24FB4">
        <w:rPr>
          <w:sz w:val="20"/>
          <w:szCs w:val="20"/>
        </w:rPr>
        <w:t>length c. 15% of sales</w:t>
      </w:r>
    </w:p>
    <w:p w14:paraId="3EBD2F4B" w14:textId="7BCC9C77" w:rsidR="005B35B8" w:rsidRPr="00E24FB4" w:rsidRDefault="005B35B8" w:rsidP="00436A87">
      <w:pPr>
        <w:pStyle w:val="ListParagraph"/>
        <w:numPr>
          <w:ilvl w:val="0"/>
          <w:numId w:val="25"/>
        </w:numPr>
        <w:rPr>
          <w:sz w:val="20"/>
          <w:szCs w:val="20"/>
        </w:rPr>
      </w:pPr>
      <w:r w:rsidRPr="00E24FB4">
        <w:rPr>
          <w:sz w:val="20"/>
          <w:szCs w:val="20"/>
        </w:rPr>
        <w:t xml:space="preserve">High promoter salary </w:t>
      </w:r>
      <w:r w:rsidR="009C25D2" w:rsidRPr="00E24FB4">
        <w:rPr>
          <w:sz w:val="20"/>
          <w:szCs w:val="20"/>
        </w:rPr>
        <w:t>though linked to PBT</w:t>
      </w:r>
      <w:r w:rsidR="005B3445" w:rsidRPr="00E24FB4">
        <w:rPr>
          <w:sz w:val="20"/>
          <w:szCs w:val="20"/>
        </w:rPr>
        <w:t xml:space="preserve"> c. 15% of PBT </w:t>
      </w:r>
    </w:p>
    <w:p w14:paraId="0F21FB04" w14:textId="77777777" w:rsidR="00CE7EAB" w:rsidRPr="00E24FB4" w:rsidRDefault="00CE7EAB" w:rsidP="00CE7EAB">
      <w:pPr>
        <w:pStyle w:val="ListParagraph"/>
        <w:ind w:left="1440"/>
        <w:rPr>
          <w:sz w:val="20"/>
          <w:szCs w:val="20"/>
        </w:rPr>
      </w:pPr>
    </w:p>
    <w:tbl>
      <w:tblPr>
        <w:tblStyle w:val="TableGrid"/>
        <w:tblW w:w="0" w:type="auto"/>
        <w:tblLook w:val="04A0" w:firstRow="1" w:lastRow="0" w:firstColumn="1" w:lastColumn="0" w:noHBand="0" w:noVBand="1"/>
      </w:tblPr>
      <w:tblGrid>
        <w:gridCol w:w="9010"/>
      </w:tblGrid>
      <w:tr w:rsidR="00E24FB4" w:rsidRPr="00E24FB4" w14:paraId="2413B91A" w14:textId="77777777" w:rsidTr="00764351">
        <w:tc>
          <w:tcPr>
            <w:tcW w:w="9010" w:type="dxa"/>
          </w:tcPr>
          <w:p w14:paraId="25A773D7" w14:textId="77777777" w:rsidR="003C2E71" w:rsidRPr="00E24FB4" w:rsidRDefault="003C2E71" w:rsidP="003103BF">
            <w:pPr>
              <w:rPr>
                <w:b/>
                <w:bCs/>
                <w:sz w:val="20"/>
                <w:szCs w:val="20"/>
              </w:rPr>
            </w:pPr>
            <w:r w:rsidRPr="00E24FB4">
              <w:rPr>
                <w:b/>
                <w:bCs/>
                <w:sz w:val="20"/>
                <w:szCs w:val="20"/>
              </w:rPr>
              <w:t>GROWTH/SCALABILITY</w:t>
            </w:r>
          </w:p>
        </w:tc>
      </w:tr>
    </w:tbl>
    <w:p w14:paraId="543CC159" w14:textId="0FD0EF47" w:rsidR="003C2E71" w:rsidRPr="00E24FB4" w:rsidRDefault="003C2E71" w:rsidP="00436A87">
      <w:pPr>
        <w:pStyle w:val="ListParagraph"/>
        <w:numPr>
          <w:ilvl w:val="0"/>
          <w:numId w:val="3"/>
        </w:numPr>
        <w:rPr>
          <w:b/>
          <w:bCs/>
          <w:sz w:val="20"/>
          <w:szCs w:val="20"/>
        </w:rPr>
      </w:pPr>
      <w:r w:rsidRPr="00E24FB4">
        <w:rPr>
          <w:b/>
          <w:bCs/>
          <w:sz w:val="20"/>
          <w:szCs w:val="20"/>
        </w:rPr>
        <w:t xml:space="preserve">Linear Growth </w:t>
      </w:r>
    </w:p>
    <w:p w14:paraId="7CC87F0C" w14:textId="0CC6BBAD" w:rsidR="004444A4" w:rsidRPr="00E24FB4" w:rsidRDefault="004444A4" w:rsidP="00436A87">
      <w:pPr>
        <w:pStyle w:val="ListParagraph"/>
        <w:numPr>
          <w:ilvl w:val="0"/>
          <w:numId w:val="26"/>
        </w:numPr>
        <w:rPr>
          <w:sz w:val="20"/>
          <w:szCs w:val="20"/>
        </w:rPr>
      </w:pPr>
      <w:r w:rsidRPr="00E24FB4">
        <w:rPr>
          <w:sz w:val="20"/>
          <w:szCs w:val="20"/>
        </w:rPr>
        <w:t>Industry tailwinds on account of move by global agrochemical players to shift from China to other geographies like India to diversify their supply chain</w:t>
      </w:r>
    </w:p>
    <w:p w14:paraId="6589BB85" w14:textId="4768C8A0" w:rsidR="004444A4" w:rsidRPr="00E24FB4" w:rsidRDefault="004444A4" w:rsidP="00436A87">
      <w:pPr>
        <w:pStyle w:val="ListParagraph"/>
        <w:numPr>
          <w:ilvl w:val="0"/>
          <w:numId w:val="26"/>
        </w:numPr>
        <w:rPr>
          <w:sz w:val="20"/>
          <w:szCs w:val="20"/>
        </w:rPr>
      </w:pPr>
      <w:r w:rsidRPr="00E24FB4">
        <w:rPr>
          <w:sz w:val="20"/>
          <w:szCs w:val="20"/>
        </w:rPr>
        <w:t>Higher market share with existing customers with whom BRL has developed traction over last 8 – 10 years like Nissan</w:t>
      </w:r>
    </w:p>
    <w:p w14:paraId="42842E9D" w14:textId="6798581D" w:rsidR="004444A4" w:rsidRPr="00E24FB4" w:rsidRDefault="004444A4" w:rsidP="00436A87">
      <w:pPr>
        <w:pStyle w:val="ListParagraph"/>
        <w:numPr>
          <w:ilvl w:val="0"/>
          <w:numId w:val="26"/>
        </w:numPr>
        <w:rPr>
          <w:sz w:val="20"/>
          <w:szCs w:val="20"/>
        </w:rPr>
      </w:pPr>
      <w:r w:rsidRPr="00E24FB4">
        <w:rPr>
          <w:sz w:val="20"/>
          <w:szCs w:val="20"/>
        </w:rPr>
        <w:t>Increase in margin through hi</w:t>
      </w:r>
      <w:r w:rsidR="005F3B64">
        <w:rPr>
          <w:sz w:val="20"/>
          <w:szCs w:val="20"/>
        </w:rPr>
        <w:t>g</w:t>
      </w:r>
      <w:r w:rsidRPr="00E24FB4">
        <w:rPr>
          <w:sz w:val="20"/>
          <w:szCs w:val="20"/>
        </w:rPr>
        <w:t>her sales of exports vs domestic, higher CRAMS share and migration from lower margin to higher margin products</w:t>
      </w:r>
    </w:p>
    <w:p w14:paraId="2B4E8CC5" w14:textId="77777777" w:rsidR="004444A4" w:rsidRPr="00E24FB4" w:rsidRDefault="004444A4" w:rsidP="004444A4">
      <w:pPr>
        <w:pStyle w:val="ListParagraph"/>
        <w:ind w:left="1080"/>
        <w:rPr>
          <w:sz w:val="20"/>
          <w:szCs w:val="20"/>
        </w:rPr>
      </w:pPr>
    </w:p>
    <w:p w14:paraId="257AE48B" w14:textId="77777777" w:rsidR="003C2E71" w:rsidRPr="00E24FB4" w:rsidRDefault="003C2E71" w:rsidP="00436A87">
      <w:pPr>
        <w:pStyle w:val="ListParagraph"/>
        <w:numPr>
          <w:ilvl w:val="0"/>
          <w:numId w:val="3"/>
        </w:numPr>
        <w:rPr>
          <w:b/>
          <w:bCs/>
          <w:sz w:val="20"/>
          <w:szCs w:val="20"/>
        </w:rPr>
      </w:pPr>
      <w:r w:rsidRPr="00E24FB4">
        <w:rPr>
          <w:b/>
          <w:bCs/>
          <w:sz w:val="20"/>
          <w:szCs w:val="20"/>
        </w:rPr>
        <w:t>Expansionary Growth - Low</w:t>
      </w:r>
    </w:p>
    <w:p w14:paraId="769E7CCA" w14:textId="4F75F35C" w:rsidR="003C2E71" w:rsidRPr="00E24FB4" w:rsidRDefault="003C2E71" w:rsidP="00436A87">
      <w:pPr>
        <w:pStyle w:val="ListParagraph"/>
        <w:numPr>
          <w:ilvl w:val="0"/>
          <w:numId w:val="4"/>
        </w:numPr>
        <w:rPr>
          <w:sz w:val="20"/>
          <w:szCs w:val="20"/>
        </w:rPr>
      </w:pPr>
      <w:r w:rsidRPr="00E24FB4">
        <w:rPr>
          <w:sz w:val="20"/>
          <w:szCs w:val="20"/>
        </w:rPr>
        <w:t xml:space="preserve">Value Migration – </w:t>
      </w:r>
      <w:r w:rsidR="005F3B64">
        <w:rPr>
          <w:sz w:val="20"/>
          <w:szCs w:val="20"/>
        </w:rPr>
        <w:t>Patented CRAMS and higher share of CRAMS business to drive value migration</w:t>
      </w:r>
    </w:p>
    <w:p w14:paraId="6C9586B1" w14:textId="75F067D1" w:rsidR="005F3B64" w:rsidRDefault="003C2E71" w:rsidP="00436A87">
      <w:pPr>
        <w:pStyle w:val="ListParagraph"/>
        <w:numPr>
          <w:ilvl w:val="0"/>
          <w:numId w:val="4"/>
        </w:numPr>
        <w:rPr>
          <w:sz w:val="20"/>
          <w:szCs w:val="20"/>
        </w:rPr>
      </w:pPr>
      <w:r w:rsidRPr="00E24FB4">
        <w:rPr>
          <w:sz w:val="20"/>
          <w:szCs w:val="20"/>
        </w:rPr>
        <w:t xml:space="preserve">New Geography </w:t>
      </w:r>
      <w:r w:rsidR="00B96599" w:rsidRPr="00E24FB4">
        <w:rPr>
          <w:sz w:val="20"/>
          <w:szCs w:val="20"/>
        </w:rPr>
        <w:t>–</w:t>
      </w:r>
      <w:r w:rsidRPr="00E24FB4">
        <w:rPr>
          <w:sz w:val="20"/>
          <w:szCs w:val="20"/>
        </w:rPr>
        <w:t xml:space="preserve"> </w:t>
      </w:r>
      <w:r w:rsidR="005F3B64">
        <w:rPr>
          <w:sz w:val="20"/>
          <w:szCs w:val="20"/>
        </w:rPr>
        <w:t>Expanding presence in Brazil and with other MNCs for CRAMs</w:t>
      </w:r>
    </w:p>
    <w:p w14:paraId="0A51C47E" w14:textId="31014F1F" w:rsidR="003C2E71" w:rsidRPr="00E24FB4" w:rsidRDefault="003C2E71" w:rsidP="00436A87">
      <w:pPr>
        <w:pStyle w:val="ListParagraph"/>
        <w:numPr>
          <w:ilvl w:val="0"/>
          <w:numId w:val="4"/>
        </w:numPr>
        <w:rPr>
          <w:sz w:val="20"/>
          <w:szCs w:val="20"/>
        </w:rPr>
      </w:pPr>
      <w:r w:rsidRPr="00E24FB4">
        <w:rPr>
          <w:sz w:val="20"/>
          <w:szCs w:val="20"/>
        </w:rPr>
        <w:t xml:space="preserve">New Revenue Stream </w:t>
      </w:r>
      <w:r w:rsidR="00B96599" w:rsidRPr="00E24FB4">
        <w:rPr>
          <w:sz w:val="20"/>
          <w:szCs w:val="20"/>
        </w:rPr>
        <w:t>–</w:t>
      </w:r>
      <w:r w:rsidRPr="00E24FB4">
        <w:rPr>
          <w:sz w:val="20"/>
          <w:szCs w:val="20"/>
        </w:rPr>
        <w:t xml:space="preserve"> </w:t>
      </w:r>
      <w:r w:rsidR="001559DE" w:rsidRPr="00E24FB4">
        <w:rPr>
          <w:sz w:val="20"/>
          <w:szCs w:val="20"/>
        </w:rPr>
        <w:t>NA</w:t>
      </w:r>
    </w:p>
    <w:p w14:paraId="7DEBC846" w14:textId="77777777" w:rsidR="00CE7EAB" w:rsidRPr="00E24FB4" w:rsidRDefault="00CE7EAB" w:rsidP="003103BF">
      <w:pPr>
        <w:rPr>
          <w:b/>
          <w:bCs/>
          <w:sz w:val="20"/>
          <w:szCs w:val="20"/>
        </w:rPr>
      </w:pPr>
    </w:p>
    <w:tbl>
      <w:tblPr>
        <w:tblStyle w:val="TableGrid"/>
        <w:tblW w:w="0" w:type="auto"/>
        <w:tblLook w:val="04A0" w:firstRow="1" w:lastRow="0" w:firstColumn="1" w:lastColumn="0" w:noHBand="0" w:noVBand="1"/>
      </w:tblPr>
      <w:tblGrid>
        <w:gridCol w:w="9010"/>
      </w:tblGrid>
      <w:tr w:rsidR="00E24FB4" w:rsidRPr="00E24FB4" w14:paraId="14B66FA0" w14:textId="77777777" w:rsidTr="00764351">
        <w:tc>
          <w:tcPr>
            <w:tcW w:w="9010" w:type="dxa"/>
          </w:tcPr>
          <w:p w14:paraId="596F0F9A" w14:textId="0D820D6D" w:rsidR="00B96599" w:rsidRPr="00E24FB4" w:rsidRDefault="00B96599" w:rsidP="003103BF">
            <w:pPr>
              <w:rPr>
                <w:b/>
                <w:bCs/>
                <w:sz w:val="20"/>
                <w:szCs w:val="20"/>
              </w:rPr>
            </w:pPr>
            <w:r w:rsidRPr="00E24FB4">
              <w:rPr>
                <w:b/>
                <w:bCs/>
                <w:sz w:val="20"/>
                <w:szCs w:val="20"/>
              </w:rPr>
              <w:t xml:space="preserve">Business </w:t>
            </w:r>
            <w:r w:rsidR="004644FA">
              <w:rPr>
                <w:b/>
                <w:bCs/>
                <w:sz w:val="20"/>
                <w:szCs w:val="20"/>
              </w:rPr>
              <w:t xml:space="preserve">Model </w:t>
            </w:r>
            <w:r w:rsidRPr="00E24FB4">
              <w:rPr>
                <w:b/>
                <w:bCs/>
                <w:sz w:val="20"/>
                <w:szCs w:val="20"/>
              </w:rPr>
              <w:t>Vulnerability / Strength</w:t>
            </w:r>
          </w:p>
        </w:tc>
      </w:tr>
    </w:tbl>
    <w:p w14:paraId="40518D5A" w14:textId="77777777" w:rsidR="00B503AF" w:rsidRPr="00E24FB4" w:rsidRDefault="00B503AF" w:rsidP="00436A87">
      <w:pPr>
        <w:pStyle w:val="ListParagraph"/>
        <w:numPr>
          <w:ilvl w:val="0"/>
          <w:numId w:val="5"/>
        </w:numPr>
        <w:rPr>
          <w:b/>
          <w:bCs/>
          <w:sz w:val="20"/>
          <w:szCs w:val="20"/>
        </w:rPr>
      </w:pPr>
      <w:r w:rsidRPr="00E24FB4">
        <w:rPr>
          <w:b/>
          <w:bCs/>
          <w:sz w:val="20"/>
          <w:szCs w:val="20"/>
        </w:rPr>
        <w:t>Vulnerability</w:t>
      </w:r>
    </w:p>
    <w:p w14:paraId="12088A50" w14:textId="26030FFB" w:rsidR="00C1746C" w:rsidRDefault="00E9613B" w:rsidP="00E03E9D">
      <w:pPr>
        <w:pStyle w:val="ListParagraph"/>
        <w:numPr>
          <w:ilvl w:val="1"/>
          <w:numId w:val="5"/>
        </w:numPr>
        <w:rPr>
          <w:sz w:val="20"/>
          <w:szCs w:val="20"/>
        </w:rPr>
      </w:pPr>
      <w:r>
        <w:rPr>
          <w:sz w:val="20"/>
          <w:szCs w:val="20"/>
        </w:rPr>
        <w:t xml:space="preserve">Over the last few years, margins have increased for </w:t>
      </w:r>
      <w:r w:rsidR="00C1746C" w:rsidRPr="00C1746C">
        <w:rPr>
          <w:sz w:val="20"/>
          <w:szCs w:val="20"/>
        </w:rPr>
        <w:t xml:space="preserve">the industry </w:t>
      </w:r>
      <w:r>
        <w:rPr>
          <w:sz w:val="20"/>
          <w:szCs w:val="20"/>
        </w:rPr>
        <w:t xml:space="preserve">in general, </w:t>
      </w:r>
      <w:r w:rsidR="00C1746C" w:rsidRPr="00C1746C">
        <w:rPr>
          <w:sz w:val="20"/>
          <w:szCs w:val="20"/>
        </w:rPr>
        <w:t xml:space="preserve">due to the rise in prices of key starting material / base materials </w:t>
      </w:r>
      <w:r>
        <w:rPr>
          <w:sz w:val="20"/>
          <w:szCs w:val="20"/>
        </w:rPr>
        <w:t xml:space="preserve">(on account of </w:t>
      </w:r>
      <w:r w:rsidR="00C1746C" w:rsidRPr="00C1746C">
        <w:rPr>
          <w:sz w:val="20"/>
          <w:szCs w:val="20"/>
        </w:rPr>
        <w:t>China disruption</w:t>
      </w:r>
      <w:r>
        <w:rPr>
          <w:sz w:val="20"/>
          <w:szCs w:val="20"/>
        </w:rPr>
        <w:t>)</w:t>
      </w:r>
      <w:r w:rsidR="00C1746C" w:rsidRPr="00C1746C">
        <w:rPr>
          <w:sz w:val="20"/>
          <w:szCs w:val="20"/>
        </w:rPr>
        <w:t xml:space="preserve"> </w:t>
      </w:r>
      <w:r>
        <w:rPr>
          <w:sz w:val="20"/>
          <w:szCs w:val="20"/>
        </w:rPr>
        <w:t xml:space="preserve">which led to </w:t>
      </w:r>
      <w:r w:rsidR="00C1746C" w:rsidRPr="00C1746C">
        <w:rPr>
          <w:sz w:val="20"/>
          <w:szCs w:val="20"/>
        </w:rPr>
        <w:t xml:space="preserve">a rise in prices of </w:t>
      </w:r>
      <w:proofErr w:type="spellStart"/>
      <w:r w:rsidR="00C1746C" w:rsidRPr="00C1746C">
        <w:rPr>
          <w:sz w:val="20"/>
          <w:szCs w:val="20"/>
        </w:rPr>
        <w:t>technicals</w:t>
      </w:r>
      <w:proofErr w:type="spellEnd"/>
      <w:r>
        <w:rPr>
          <w:sz w:val="20"/>
          <w:szCs w:val="20"/>
        </w:rPr>
        <w:t xml:space="preserve"> too</w:t>
      </w:r>
      <w:r w:rsidR="00C1746C" w:rsidRPr="00C1746C">
        <w:rPr>
          <w:sz w:val="20"/>
          <w:szCs w:val="20"/>
        </w:rPr>
        <w:t xml:space="preserve">. </w:t>
      </w:r>
      <w:r w:rsidR="00B83B08" w:rsidRPr="00C1746C">
        <w:rPr>
          <w:sz w:val="20"/>
          <w:szCs w:val="20"/>
        </w:rPr>
        <w:t xml:space="preserve">However, this is mitigated </w:t>
      </w:r>
      <w:r w:rsidR="00C1746C">
        <w:rPr>
          <w:sz w:val="20"/>
          <w:szCs w:val="20"/>
        </w:rPr>
        <w:t>as the shift of supply chains from China to other alternate geographies seems more structural than cyclical.</w:t>
      </w:r>
    </w:p>
    <w:p w14:paraId="509201BA" w14:textId="6B7F3E3C" w:rsidR="00D42EE7" w:rsidRPr="00E24FB4" w:rsidRDefault="00C1746C" w:rsidP="00436A87">
      <w:pPr>
        <w:pStyle w:val="ListParagraph"/>
        <w:numPr>
          <w:ilvl w:val="1"/>
          <w:numId w:val="5"/>
        </w:numPr>
        <w:rPr>
          <w:rStyle w:val="Strong"/>
          <w:b w:val="0"/>
          <w:bCs w:val="0"/>
          <w:sz w:val="20"/>
          <w:szCs w:val="20"/>
        </w:rPr>
      </w:pPr>
      <w:r>
        <w:rPr>
          <w:sz w:val="20"/>
          <w:szCs w:val="20"/>
        </w:rPr>
        <w:t>P</w:t>
      </w:r>
      <w:r w:rsidR="00B83B08" w:rsidRPr="00E24FB4">
        <w:rPr>
          <w:sz w:val="20"/>
          <w:szCs w:val="20"/>
        </w:rPr>
        <w:t xml:space="preserve">roduct </w:t>
      </w:r>
      <w:r w:rsidR="00D42EE7" w:rsidRPr="00E24FB4">
        <w:rPr>
          <w:sz w:val="20"/>
          <w:szCs w:val="20"/>
        </w:rPr>
        <w:t>c</w:t>
      </w:r>
      <w:r w:rsidR="00B503AF" w:rsidRPr="00E24FB4">
        <w:rPr>
          <w:sz w:val="20"/>
          <w:szCs w:val="20"/>
        </w:rPr>
        <w:t>oncentration</w:t>
      </w:r>
      <w:r w:rsidR="00B503AF" w:rsidRPr="00E24FB4">
        <w:rPr>
          <w:b/>
          <w:bCs/>
          <w:sz w:val="20"/>
          <w:szCs w:val="20"/>
        </w:rPr>
        <w:t>–</w:t>
      </w:r>
      <w:r w:rsidR="00D42EE7" w:rsidRPr="00E24FB4">
        <w:rPr>
          <w:b/>
          <w:bCs/>
          <w:sz w:val="20"/>
          <w:szCs w:val="20"/>
        </w:rPr>
        <w:t xml:space="preserve"> </w:t>
      </w:r>
      <w:r w:rsidR="00D42EE7" w:rsidRPr="00E24FB4">
        <w:rPr>
          <w:rStyle w:val="Strong"/>
          <w:b w:val="0"/>
          <w:bCs w:val="0"/>
          <w:sz w:val="20"/>
          <w:szCs w:val="20"/>
        </w:rPr>
        <w:t xml:space="preserve">Meta Phenoxy </w:t>
      </w:r>
      <w:proofErr w:type="spellStart"/>
      <w:r w:rsidR="00D42EE7" w:rsidRPr="00E24FB4">
        <w:rPr>
          <w:rStyle w:val="Strong"/>
          <w:b w:val="0"/>
          <w:bCs w:val="0"/>
          <w:sz w:val="20"/>
          <w:szCs w:val="20"/>
        </w:rPr>
        <w:t>Benzaldyhyde</w:t>
      </w:r>
      <w:proofErr w:type="spellEnd"/>
      <w:r w:rsidR="00D42EE7" w:rsidRPr="00E24FB4">
        <w:rPr>
          <w:rStyle w:val="Strong"/>
          <w:b w:val="0"/>
          <w:bCs w:val="0"/>
          <w:sz w:val="20"/>
          <w:szCs w:val="20"/>
        </w:rPr>
        <w:t xml:space="preserve"> is the top molecule contributing 13% of sales (compared to 21% in FY 16).  Rest of the product portfolio is well diversified with 9 products contributing to c. 62% of sales in H1 FY 20.</w:t>
      </w:r>
    </w:p>
    <w:p w14:paraId="64F60878" w14:textId="61FD6511" w:rsidR="000A029F" w:rsidRPr="000A029F" w:rsidRDefault="00767BB8" w:rsidP="00436A87">
      <w:pPr>
        <w:pStyle w:val="ListParagraph"/>
        <w:numPr>
          <w:ilvl w:val="1"/>
          <w:numId w:val="5"/>
        </w:numPr>
        <w:rPr>
          <w:sz w:val="20"/>
          <w:szCs w:val="20"/>
        </w:rPr>
      </w:pPr>
      <w:r w:rsidRPr="00E24FB4">
        <w:rPr>
          <w:sz w:val="20"/>
          <w:szCs w:val="20"/>
          <w:shd w:val="clear" w:color="auto" w:fill="FFFFFF"/>
        </w:rPr>
        <w:t xml:space="preserve">Dependency upon China for raw material - </w:t>
      </w:r>
      <w:r w:rsidR="000A029F">
        <w:rPr>
          <w:sz w:val="20"/>
          <w:szCs w:val="20"/>
          <w:shd w:val="clear" w:color="auto" w:fill="FFFFFF"/>
        </w:rPr>
        <w:t>B</w:t>
      </w:r>
      <w:r w:rsidR="00D42EE7" w:rsidRPr="00E24FB4">
        <w:rPr>
          <w:sz w:val="20"/>
          <w:szCs w:val="20"/>
          <w:shd w:val="clear" w:color="auto" w:fill="FFFFFF"/>
        </w:rPr>
        <w:t>ackward integration</w:t>
      </w:r>
      <w:r w:rsidRPr="00E24FB4">
        <w:rPr>
          <w:sz w:val="20"/>
          <w:szCs w:val="20"/>
          <w:shd w:val="clear" w:color="auto" w:fill="FFFFFF"/>
        </w:rPr>
        <w:t xml:space="preserve"> </w:t>
      </w:r>
      <w:r w:rsidR="000A029F">
        <w:rPr>
          <w:sz w:val="20"/>
          <w:szCs w:val="20"/>
          <w:shd w:val="clear" w:color="auto" w:fill="FFFFFF"/>
        </w:rPr>
        <w:t>will reduce dependence on China from 50% to 30%.</w:t>
      </w:r>
    </w:p>
    <w:p w14:paraId="63BCB99E" w14:textId="77777777" w:rsidR="00767BB8" w:rsidRPr="00E24FB4" w:rsidRDefault="00767BB8" w:rsidP="00767BB8">
      <w:pPr>
        <w:pStyle w:val="ListParagraph"/>
        <w:rPr>
          <w:b/>
          <w:bCs/>
          <w:sz w:val="20"/>
          <w:szCs w:val="20"/>
        </w:rPr>
      </w:pPr>
    </w:p>
    <w:p w14:paraId="230ED29C" w14:textId="43DF2C8B" w:rsidR="00B503AF" w:rsidRPr="00E24FB4" w:rsidRDefault="00B503AF" w:rsidP="00436A87">
      <w:pPr>
        <w:pStyle w:val="ListParagraph"/>
        <w:numPr>
          <w:ilvl w:val="0"/>
          <w:numId w:val="5"/>
        </w:numPr>
        <w:rPr>
          <w:b/>
          <w:bCs/>
          <w:sz w:val="20"/>
          <w:szCs w:val="20"/>
        </w:rPr>
      </w:pPr>
      <w:r w:rsidRPr="00E24FB4">
        <w:rPr>
          <w:b/>
          <w:bCs/>
          <w:sz w:val="20"/>
          <w:szCs w:val="20"/>
        </w:rPr>
        <w:t>Strengths/opportunities:</w:t>
      </w:r>
    </w:p>
    <w:p w14:paraId="57A6EC52" w14:textId="1374AACB" w:rsidR="00DF3509" w:rsidRPr="00A37281" w:rsidRDefault="00A37281">
      <w:pPr>
        <w:rPr>
          <w:sz w:val="20"/>
          <w:szCs w:val="20"/>
        </w:rPr>
      </w:pPr>
      <w:r w:rsidRPr="00A37281">
        <w:rPr>
          <w:sz w:val="20"/>
          <w:szCs w:val="20"/>
        </w:rPr>
        <w:t>As elaborated earlier</w:t>
      </w:r>
    </w:p>
    <w:p w14:paraId="2EF5E846" w14:textId="77777777" w:rsidR="000A029F" w:rsidRPr="00E24FB4" w:rsidRDefault="000A029F">
      <w:pPr>
        <w:rPr>
          <w:b/>
          <w:bCs/>
          <w:sz w:val="20"/>
          <w:szCs w:val="20"/>
        </w:rPr>
      </w:pPr>
    </w:p>
    <w:tbl>
      <w:tblPr>
        <w:tblStyle w:val="TableGrid"/>
        <w:tblW w:w="0" w:type="auto"/>
        <w:tblLook w:val="04A0" w:firstRow="1" w:lastRow="0" w:firstColumn="1" w:lastColumn="0" w:noHBand="0" w:noVBand="1"/>
      </w:tblPr>
      <w:tblGrid>
        <w:gridCol w:w="9010"/>
      </w:tblGrid>
      <w:tr w:rsidR="00DF3509" w:rsidRPr="00E24FB4" w14:paraId="512E5060" w14:textId="77777777" w:rsidTr="00764351">
        <w:tc>
          <w:tcPr>
            <w:tcW w:w="9010" w:type="dxa"/>
          </w:tcPr>
          <w:p w14:paraId="39C4E267" w14:textId="77777777" w:rsidR="00DF3509" w:rsidRPr="00E24FB4" w:rsidRDefault="00DF3509" w:rsidP="003103BF">
            <w:pPr>
              <w:rPr>
                <w:b/>
                <w:bCs/>
                <w:sz w:val="20"/>
                <w:szCs w:val="20"/>
              </w:rPr>
            </w:pPr>
            <w:r w:rsidRPr="00E24FB4">
              <w:rPr>
                <w:b/>
                <w:bCs/>
                <w:sz w:val="20"/>
                <w:szCs w:val="20"/>
              </w:rPr>
              <w:t>VALUATION</w:t>
            </w:r>
          </w:p>
        </w:tc>
      </w:tr>
    </w:tbl>
    <w:p w14:paraId="1D75F940" w14:textId="3D8B3032" w:rsidR="00942645" w:rsidRPr="00E24FB4" w:rsidRDefault="00942645" w:rsidP="003103BF">
      <w:pPr>
        <w:rPr>
          <w:b/>
          <w:bCs/>
          <w:sz w:val="20"/>
          <w:szCs w:val="20"/>
        </w:rPr>
      </w:pPr>
      <w:r w:rsidRPr="00E24FB4">
        <w:rPr>
          <w:b/>
          <w:bCs/>
          <w:sz w:val="20"/>
          <w:szCs w:val="20"/>
        </w:rPr>
        <w:t xml:space="preserve">Undervaluation: </w:t>
      </w:r>
      <w:r w:rsidRPr="00E24FB4">
        <w:rPr>
          <w:b/>
          <w:bCs/>
          <w:sz w:val="20"/>
          <w:szCs w:val="20"/>
        </w:rPr>
        <w:sym w:font="Wingdings" w:char="F06F"/>
      </w:r>
      <w:r w:rsidRPr="00E24FB4">
        <w:rPr>
          <w:b/>
          <w:bCs/>
          <w:sz w:val="20"/>
          <w:szCs w:val="20"/>
        </w:rPr>
        <w:t xml:space="preserve"> Screaming </w:t>
      </w:r>
      <w:r w:rsidR="00150B6A" w:rsidRPr="00E24FB4">
        <w:rPr>
          <w:sz w:val="20"/>
          <w:szCs w:val="20"/>
        </w:rPr>
        <w:sym w:font="Wingdings" w:char="F0FE"/>
      </w:r>
      <w:r w:rsidR="00150B6A" w:rsidRPr="00E24FB4">
        <w:rPr>
          <w:sz w:val="20"/>
          <w:szCs w:val="20"/>
        </w:rPr>
        <w:t xml:space="preserve"> </w:t>
      </w:r>
      <w:r w:rsidRPr="00E24FB4">
        <w:rPr>
          <w:b/>
          <w:bCs/>
          <w:sz w:val="20"/>
          <w:szCs w:val="20"/>
        </w:rPr>
        <w:t xml:space="preserve">High </w:t>
      </w:r>
      <w:r w:rsidR="00150B6A" w:rsidRPr="00E24FB4">
        <w:rPr>
          <w:b/>
          <w:bCs/>
          <w:sz w:val="20"/>
          <w:szCs w:val="20"/>
        </w:rPr>
        <w:sym w:font="Wingdings" w:char="F06F"/>
      </w:r>
      <w:r w:rsidR="00150B6A" w:rsidRPr="00E24FB4">
        <w:rPr>
          <w:b/>
          <w:bCs/>
          <w:sz w:val="20"/>
          <w:szCs w:val="20"/>
        </w:rPr>
        <w:t xml:space="preserve"> </w:t>
      </w:r>
      <w:r w:rsidRPr="00E24FB4">
        <w:rPr>
          <w:b/>
          <w:bCs/>
          <w:sz w:val="20"/>
          <w:szCs w:val="20"/>
        </w:rPr>
        <w:t>Fair</w:t>
      </w:r>
    </w:p>
    <w:p w14:paraId="24E20A65" w14:textId="2D52CFC7" w:rsidR="00150B6A" w:rsidRPr="00E24FB4" w:rsidRDefault="00150B6A" w:rsidP="003103BF">
      <w:pPr>
        <w:rPr>
          <w:b/>
          <w:bCs/>
          <w:sz w:val="20"/>
          <w:szCs w:val="20"/>
        </w:rPr>
      </w:pPr>
      <w:r w:rsidRPr="00E24FB4">
        <w:rPr>
          <w:b/>
          <w:bCs/>
          <w:sz w:val="20"/>
          <w:szCs w:val="20"/>
        </w:rPr>
        <w:t xml:space="preserve">Led by </w:t>
      </w:r>
      <w:r w:rsidRPr="00E24FB4">
        <w:rPr>
          <w:sz w:val="20"/>
          <w:szCs w:val="20"/>
        </w:rPr>
        <w:sym w:font="Wingdings" w:char="F0FE"/>
      </w:r>
      <w:r w:rsidRPr="00E24FB4">
        <w:rPr>
          <w:sz w:val="20"/>
          <w:szCs w:val="20"/>
        </w:rPr>
        <w:t xml:space="preserve"> Earning trajectory </w:t>
      </w:r>
      <w:r w:rsidRPr="00E24FB4">
        <w:rPr>
          <w:sz w:val="20"/>
          <w:szCs w:val="20"/>
        </w:rPr>
        <w:sym w:font="Wingdings" w:char="F0FE"/>
      </w:r>
      <w:r w:rsidRPr="00E24FB4">
        <w:rPr>
          <w:sz w:val="20"/>
          <w:szCs w:val="20"/>
        </w:rPr>
        <w:t xml:space="preserve"> Value migration </w:t>
      </w:r>
      <w:r w:rsidRPr="00E24FB4">
        <w:rPr>
          <w:sz w:val="20"/>
          <w:szCs w:val="20"/>
        </w:rPr>
        <w:sym w:font="Wingdings" w:char="F0FE"/>
      </w:r>
      <w:r w:rsidRPr="00E24FB4">
        <w:rPr>
          <w:sz w:val="20"/>
          <w:szCs w:val="20"/>
        </w:rPr>
        <w:t xml:space="preserve"> Rerating</w:t>
      </w:r>
    </w:p>
    <w:p w14:paraId="51E7C8DE" w14:textId="1E6C9788" w:rsidR="00942645" w:rsidRPr="00E24FB4" w:rsidRDefault="00942645" w:rsidP="003103BF">
      <w:pPr>
        <w:rPr>
          <w:b/>
          <w:bCs/>
          <w:sz w:val="20"/>
          <w:szCs w:val="20"/>
        </w:rPr>
      </w:pPr>
    </w:p>
    <w:p w14:paraId="45100394" w14:textId="00F2257F" w:rsidR="0052707B" w:rsidRDefault="00A37281" w:rsidP="00436A87">
      <w:pPr>
        <w:pStyle w:val="ListParagraph"/>
        <w:numPr>
          <w:ilvl w:val="0"/>
          <w:numId w:val="27"/>
        </w:numPr>
        <w:rPr>
          <w:sz w:val="20"/>
          <w:szCs w:val="20"/>
        </w:rPr>
      </w:pPr>
      <w:r>
        <w:rPr>
          <w:sz w:val="20"/>
          <w:szCs w:val="20"/>
        </w:rPr>
        <w:t>On 24</w:t>
      </w:r>
      <w:r w:rsidRPr="00A37281">
        <w:rPr>
          <w:sz w:val="20"/>
          <w:szCs w:val="20"/>
          <w:vertAlign w:val="superscript"/>
        </w:rPr>
        <w:t>th</w:t>
      </w:r>
      <w:r>
        <w:rPr>
          <w:sz w:val="20"/>
          <w:szCs w:val="20"/>
        </w:rPr>
        <w:t xml:space="preserve"> March prices – Price Rs 4852 / PE 13 / High undervaluation </w:t>
      </w:r>
    </w:p>
    <w:p w14:paraId="133A072E" w14:textId="613124A5" w:rsidR="00A37281" w:rsidRPr="00E24FB4" w:rsidRDefault="00A37281" w:rsidP="00436A87">
      <w:pPr>
        <w:pStyle w:val="ListParagraph"/>
        <w:numPr>
          <w:ilvl w:val="0"/>
          <w:numId w:val="27"/>
        </w:numPr>
        <w:rPr>
          <w:sz w:val="20"/>
          <w:szCs w:val="20"/>
        </w:rPr>
      </w:pPr>
      <w:r w:rsidRPr="00E24FB4">
        <w:rPr>
          <w:sz w:val="20"/>
          <w:szCs w:val="20"/>
        </w:rPr>
        <w:lastRenderedPageBreak/>
        <w:t xml:space="preserve">Historical </w:t>
      </w:r>
      <w:r>
        <w:rPr>
          <w:sz w:val="20"/>
          <w:szCs w:val="20"/>
        </w:rPr>
        <w:t xml:space="preserve">PE </w:t>
      </w:r>
      <w:r w:rsidRPr="00E24FB4">
        <w:rPr>
          <w:sz w:val="20"/>
          <w:szCs w:val="20"/>
        </w:rPr>
        <w:t>range 2015 onwards 10-35x</w:t>
      </w:r>
    </w:p>
    <w:p w14:paraId="4110E21F" w14:textId="1C4CA5A9" w:rsidR="0052707B" w:rsidRPr="00E24FB4" w:rsidRDefault="0052707B" w:rsidP="00436A87">
      <w:pPr>
        <w:pStyle w:val="ListParagraph"/>
        <w:numPr>
          <w:ilvl w:val="0"/>
          <w:numId w:val="27"/>
        </w:numPr>
        <w:rPr>
          <w:sz w:val="20"/>
          <w:szCs w:val="20"/>
        </w:rPr>
      </w:pPr>
      <w:r w:rsidRPr="00E24FB4">
        <w:rPr>
          <w:sz w:val="20"/>
          <w:szCs w:val="20"/>
          <w:u w:val="single"/>
        </w:rPr>
        <w:t>Earnings trajectory &amp; value migration:</w:t>
      </w:r>
      <w:r w:rsidRPr="00E24FB4">
        <w:rPr>
          <w:sz w:val="20"/>
          <w:szCs w:val="20"/>
        </w:rPr>
        <w:t xml:space="preserve"> - </w:t>
      </w:r>
      <w:r w:rsidR="00150B6A" w:rsidRPr="00E24FB4">
        <w:rPr>
          <w:sz w:val="20"/>
          <w:szCs w:val="20"/>
        </w:rPr>
        <w:t xml:space="preserve">Earnings are projected to grow at c. 20-25% for next 2-3 years with business quality improving </w:t>
      </w:r>
      <w:r w:rsidRPr="00E24FB4">
        <w:rPr>
          <w:sz w:val="20"/>
          <w:szCs w:val="20"/>
        </w:rPr>
        <w:t>(</w:t>
      </w:r>
      <w:r w:rsidR="00150B6A" w:rsidRPr="00E24FB4">
        <w:rPr>
          <w:sz w:val="20"/>
          <w:szCs w:val="20"/>
        </w:rPr>
        <w:t>higher share of CRAMS</w:t>
      </w:r>
      <w:r w:rsidRPr="00E24FB4">
        <w:rPr>
          <w:sz w:val="20"/>
          <w:szCs w:val="20"/>
        </w:rPr>
        <w:t>, higher exports, Nissan JV, more backward integrated)</w:t>
      </w:r>
      <w:r w:rsidR="00150B6A" w:rsidRPr="00E24FB4">
        <w:rPr>
          <w:sz w:val="20"/>
          <w:szCs w:val="20"/>
        </w:rPr>
        <w:t xml:space="preserve">. </w:t>
      </w:r>
    </w:p>
    <w:p w14:paraId="3F1B68B0" w14:textId="6C2AE1E9" w:rsidR="00150B6A" w:rsidRPr="00E24FB4" w:rsidRDefault="00150B6A" w:rsidP="00436A87">
      <w:pPr>
        <w:pStyle w:val="ListParagraph"/>
        <w:numPr>
          <w:ilvl w:val="0"/>
          <w:numId w:val="27"/>
        </w:numPr>
        <w:rPr>
          <w:sz w:val="20"/>
          <w:szCs w:val="20"/>
        </w:rPr>
      </w:pPr>
      <w:r w:rsidRPr="00E24FB4">
        <w:rPr>
          <w:sz w:val="20"/>
          <w:szCs w:val="20"/>
          <w:u w:val="single"/>
        </w:rPr>
        <w:t>Rerating</w:t>
      </w:r>
      <w:r w:rsidRPr="00E24FB4">
        <w:rPr>
          <w:sz w:val="20"/>
          <w:szCs w:val="20"/>
        </w:rPr>
        <w:t xml:space="preserve"> of BRL is expected, driven by </w:t>
      </w:r>
      <w:r w:rsidR="0052707B" w:rsidRPr="00E24FB4">
        <w:rPr>
          <w:sz w:val="20"/>
          <w:szCs w:val="20"/>
        </w:rPr>
        <w:t xml:space="preserve">better business quality </w:t>
      </w:r>
      <w:r w:rsidRPr="00E24FB4">
        <w:rPr>
          <w:sz w:val="20"/>
          <w:szCs w:val="20"/>
        </w:rPr>
        <w:t>and industry tailwinds.</w:t>
      </w:r>
    </w:p>
    <w:p w14:paraId="7E392505" w14:textId="77777777" w:rsidR="00DF3509" w:rsidRPr="00E24FB4" w:rsidRDefault="00DF3509" w:rsidP="003103BF">
      <w:pPr>
        <w:rPr>
          <w:b/>
          <w:bCs/>
          <w:sz w:val="20"/>
          <w:szCs w:val="20"/>
        </w:rPr>
      </w:pPr>
    </w:p>
    <w:tbl>
      <w:tblPr>
        <w:tblStyle w:val="TableGrid"/>
        <w:tblW w:w="0" w:type="auto"/>
        <w:tblLook w:val="04A0" w:firstRow="1" w:lastRow="0" w:firstColumn="1" w:lastColumn="0" w:noHBand="0" w:noVBand="1"/>
      </w:tblPr>
      <w:tblGrid>
        <w:gridCol w:w="9010"/>
      </w:tblGrid>
      <w:tr w:rsidR="00E24FB4" w:rsidRPr="00E24FB4" w14:paraId="0B46DD98" w14:textId="77777777" w:rsidTr="00764351">
        <w:tc>
          <w:tcPr>
            <w:tcW w:w="9010" w:type="dxa"/>
          </w:tcPr>
          <w:p w14:paraId="714E1D29" w14:textId="77777777" w:rsidR="0040231F" w:rsidRPr="00E24FB4" w:rsidRDefault="0040231F" w:rsidP="0040231F">
            <w:pPr>
              <w:rPr>
                <w:b/>
                <w:bCs/>
                <w:sz w:val="20"/>
                <w:szCs w:val="20"/>
              </w:rPr>
            </w:pPr>
            <w:r w:rsidRPr="00E24FB4">
              <w:rPr>
                <w:b/>
                <w:bCs/>
                <w:sz w:val="20"/>
                <w:szCs w:val="20"/>
              </w:rPr>
              <w:t>Valuation Overhang</w:t>
            </w:r>
          </w:p>
          <w:p w14:paraId="5CC1A0E8" w14:textId="651F1251" w:rsidR="0040231F" w:rsidRPr="00E24FB4" w:rsidRDefault="0040231F" w:rsidP="00A27A3C">
            <w:pPr>
              <w:rPr>
                <w:sz w:val="20"/>
                <w:szCs w:val="20"/>
              </w:rPr>
            </w:pPr>
            <w:r w:rsidRPr="00E24FB4">
              <w:rPr>
                <w:sz w:val="20"/>
                <w:szCs w:val="20"/>
              </w:rPr>
              <w:sym w:font="Wingdings" w:char="F0FD"/>
            </w:r>
            <w:r w:rsidRPr="00E24FB4">
              <w:rPr>
                <w:sz w:val="20"/>
                <w:szCs w:val="20"/>
              </w:rPr>
              <w:t xml:space="preserve"> PSU </w:t>
            </w:r>
            <w:r w:rsidR="00580C44" w:rsidRPr="00E24FB4">
              <w:rPr>
                <w:sz w:val="20"/>
                <w:szCs w:val="20"/>
              </w:rPr>
              <w:sym w:font="Wingdings" w:char="F0FE"/>
            </w:r>
            <w:r w:rsidR="00580C44" w:rsidRPr="00E24FB4">
              <w:rPr>
                <w:sz w:val="20"/>
                <w:szCs w:val="20"/>
              </w:rPr>
              <w:t xml:space="preserve"> </w:t>
            </w:r>
            <w:r w:rsidRPr="00E24FB4">
              <w:rPr>
                <w:sz w:val="20"/>
                <w:szCs w:val="20"/>
              </w:rPr>
              <w:t xml:space="preserve"> Not Understood </w:t>
            </w:r>
            <w:r w:rsidRPr="00E24FB4">
              <w:rPr>
                <w:sz w:val="20"/>
                <w:szCs w:val="20"/>
              </w:rPr>
              <w:sym w:font="Wingdings" w:char="F0FD"/>
            </w:r>
            <w:r w:rsidRPr="00E24FB4">
              <w:rPr>
                <w:sz w:val="20"/>
                <w:szCs w:val="20"/>
              </w:rPr>
              <w:t xml:space="preserve"> Sector Apathy </w:t>
            </w:r>
            <w:r w:rsidRPr="00E24FB4">
              <w:rPr>
                <w:sz w:val="20"/>
                <w:szCs w:val="20"/>
              </w:rPr>
              <w:sym w:font="Wingdings" w:char="F0FD"/>
            </w:r>
            <w:r w:rsidRPr="00E24FB4">
              <w:rPr>
                <w:sz w:val="20"/>
                <w:szCs w:val="20"/>
              </w:rPr>
              <w:t xml:space="preserve"> Regulatory  </w:t>
            </w:r>
            <w:r w:rsidRPr="00E24FB4">
              <w:rPr>
                <w:sz w:val="20"/>
                <w:szCs w:val="20"/>
              </w:rPr>
              <w:sym w:font="Wingdings" w:char="F0FD"/>
            </w:r>
            <w:r w:rsidRPr="00E24FB4">
              <w:rPr>
                <w:sz w:val="20"/>
                <w:szCs w:val="20"/>
              </w:rPr>
              <w:t xml:space="preserve"> Political </w:t>
            </w:r>
            <w:r w:rsidR="00580C44" w:rsidRPr="00E24FB4">
              <w:rPr>
                <w:sz w:val="20"/>
                <w:szCs w:val="20"/>
              </w:rPr>
              <w:sym w:font="Wingdings" w:char="F0FE"/>
            </w:r>
            <w:r w:rsidR="00580C44" w:rsidRPr="00E24FB4">
              <w:rPr>
                <w:sz w:val="20"/>
                <w:szCs w:val="20"/>
              </w:rPr>
              <w:t xml:space="preserve"> </w:t>
            </w:r>
            <w:r w:rsidRPr="00E24FB4">
              <w:rPr>
                <w:sz w:val="20"/>
                <w:szCs w:val="20"/>
              </w:rPr>
              <w:t xml:space="preserve">Corp. Governance </w:t>
            </w:r>
            <w:r w:rsidR="00580C44" w:rsidRPr="00E24FB4">
              <w:rPr>
                <w:sz w:val="20"/>
                <w:szCs w:val="20"/>
              </w:rPr>
              <w:sym w:font="Wingdings" w:char="F0FD"/>
            </w:r>
            <w:r w:rsidR="00580C44" w:rsidRPr="00E24FB4">
              <w:rPr>
                <w:sz w:val="20"/>
                <w:szCs w:val="20"/>
              </w:rPr>
              <w:t xml:space="preserve"> </w:t>
            </w:r>
            <w:r w:rsidRPr="00E24FB4">
              <w:rPr>
                <w:sz w:val="20"/>
                <w:szCs w:val="20"/>
              </w:rPr>
              <w:t xml:space="preserve">Succession Planning </w:t>
            </w:r>
            <w:r w:rsidRPr="00E24FB4">
              <w:rPr>
                <w:sz w:val="20"/>
                <w:szCs w:val="20"/>
              </w:rPr>
              <w:sym w:font="Wingdings" w:char="F0FE"/>
            </w:r>
            <w:r w:rsidRPr="00E24FB4">
              <w:rPr>
                <w:sz w:val="20"/>
                <w:szCs w:val="20"/>
              </w:rPr>
              <w:t xml:space="preserve"> High </w:t>
            </w:r>
            <w:r w:rsidR="000A029F">
              <w:rPr>
                <w:sz w:val="20"/>
                <w:szCs w:val="20"/>
              </w:rPr>
              <w:t>promoter s</w:t>
            </w:r>
            <w:r w:rsidRPr="00E24FB4">
              <w:rPr>
                <w:sz w:val="20"/>
                <w:szCs w:val="20"/>
              </w:rPr>
              <w:t>alaries</w:t>
            </w:r>
          </w:p>
        </w:tc>
      </w:tr>
    </w:tbl>
    <w:p w14:paraId="46F5C4BF" w14:textId="716307BF" w:rsidR="009A09C2" w:rsidRPr="00E24FB4" w:rsidRDefault="009A09C2" w:rsidP="00436A87">
      <w:pPr>
        <w:pStyle w:val="ListParagraph"/>
        <w:numPr>
          <w:ilvl w:val="0"/>
          <w:numId w:val="7"/>
        </w:numPr>
        <w:rPr>
          <w:sz w:val="20"/>
          <w:szCs w:val="20"/>
        </w:rPr>
      </w:pPr>
      <w:r w:rsidRPr="00E24FB4">
        <w:rPr>
          <w:sz w:val="20"/>
          <w:szCs w:val="20"/>
        </w:rPr>
        <w:t>BRL is relatively unknown and an undiscovered stock</w:t>
      </w:r>
      <w:r w:rsidR="003C282C" w:rsidRPr="00E24FB4">
        <w:rPr>
          <w:sz w:val="20"/>
          <w:szCs w:val="20"/>
        </w:rPr>
        <w:t xml:space="preserve"> (despite industry tailwinds)</w:t>
      </w:r>
      <w:r w:rsidRPr="00E24FB4">
        <w:rPr>
          <w:sz w:val="20"/>
          <w:szCs w:val="20"/>
        </w:rPr>
        <w:t>.</w:t>
      </w:r>
    </w:p>
    <w:p w14:paraId="06F24E4C" w14:textId="6BE3E9F7" w:rsidR="009A09C2" w:rsidRPr="00E24FB4" w:rsidRDefault="009A09C2" w:rsidP="00436A87">
      <w:pPr>
        <w:pStyle w:val="ListParagraph"/>
        <w:numPr>
          <w:ilvl w:val="0"/>
          <w:numId w:val="7"/>
        </w:numPr>
        <w:rPr>
          <w:sz w:val="20"/>
          <w:szCs w:val="20"/>
        </w:rPr>
      </w:pPr>
      <w:r w:rsidRPr="00E24FB4">
        <w:rPr>
          <w:sz w:val="20"/>
          <w:szCs w:val="20"/>
        </w:rPr>
        <w:t>Promoters get high salaries, though a large part is commission which is linked to PBT (which is common in many smaller companies).</w:t>
      </w:r>
    </w:p>
    <w:p w14:paraId="7EC4B921" w14:textId="267856DB" w:rsidR="00C93F9A" w:rsidRPr="00E24FB4" w:rsidRDefault="0093481B" w:rsidP="00436A87">
      <w:pPr>
        <w:pStyle w:val="ListParagraph"/>
        <w:numPr>
          <w:ilvl w:val="0"/>
          <w:numId w:val="7"/>
        </w:numPr>
        <w:rPr>
          <w:sz w:val="20"/>
          <w:szCs w:val="20"/>
        </w:rPr>
      </w:pPr>
      <w:r w:rsidRPr="00E24FB4">
        <w:rPr>
          <w:sz w:val="20"/>
          <w:szCs w:val="20"/>
        </w:rPr>
        <w:t>Perceived corporate governance issues around shareholders of questionable background – broking entities linked to previous SEBI issues etc.</w:t>
      </w:r>
    </w:p>
    <w:p w14:paraId="09A6D4C8" w14:textId="77777777" w:rsidR="00805FA8" w:rsidRPr="00E24FB4" w:rsidRDefault="00805FA8" w:rsidP="00436A87">
      <w:pPr>
        <w:pStyle w:val="NormalWeb"/>
        <w:numPr>
          <w:ilvl w:val="0"/>
          <w:numId w:val="7"/>
        </w:numPr>
        <w:shd w:val="clear" w:color="auto" w:fill="FFFFFF"/>
        <w:rPr>
          <w:sz w:val="20"/>
          <w:szCs w:val="20"/>
        </w:rPr>
      </w:pPr>
      <w:r w:rsidRPr="00E24FB4">
        <w:rPr>
          <w:sz w:val="20"/>
          <w:szCs w:val="20"/>
        </w:rPr>
        <w:t>Succession is not perceived to be a risk as Mr. RP Gupta, one of the promoters and the major growth driver of the company is in his early 50s and his son is also involved in the business.</w:t>
      </w:r>
    </w:p>
    <w:tbl>
      <w:tblPr>
        <w:tblStyle w:val="TableGrid"/>
        <w:tblW w:w="0" w:type="auto"/>
        <w:tblLook w:val="04A0" w:firstRow="1" w:lastRow="0" w:firstColumn="1" w:lastColumn="0" w:noHBand="0" w:noVBand="1"/>
      </w:tblPr>
      <w:tblGrid>
        <w:gridCol w:w="9010"/>
      </w:tblGrid>
      <w:tr w:rsidR="00E24FB4" w:rsidRPr="00E24FB4" w14:paraId="4B85053A" w14:textId="77777777" w:rsidTr="00764351">
        <w:tc>
          <w:tcPr>
            <w:tcW w:w="9010" w:type="dxa"/>
          </w:tcPr>
          <w:p w14:paraId="5BFF1415" w14:textId="77777777" w:rsidR="00B16428" w:rsidRPr="00E24FB4" w:rsidRDefault="00B16428" w:rsidP="00B16428">
            <w:pPr>
              <w:rPr>
                <w:b/>
                <w:bCs/>
                <w:sz w:val="20"/>
                <w:szCs w:val="20"/>
              </w:rPr>
            </w:pPr>
            <w:r w:rsidRPr="00E24FB4">
              <w:rPr>
                <w:b/>
                <w:bCs/>
                <w:sz w:val="20"/>
                <w:szCs w:val="20"/>
              </w:rPr>
              <w:t>Valuation Support</w:t>
            </w:r>
          </w:p>
          <w:p w14:paraId="63B25573" w14:textId="77777777" w:rsidR="00B16428" w:rsidRPr="00E24FB4" w:rsidRDefault="00B16428" w:rsidP="00B16428">
            <w:pPr>
              <w:rPr>
                <w:b/>
                <w:bCs/>
                <w:sz w:val="20"/>
                <w:szCs w:val="20"/>
              </w:rPr>
            </w:pPr>
            <w:r w:rsidRPr="00E24FB4">
              <w:rPr>
                <w:sz w:val="20"/>
                <w:szCs w:val="20"/>
              </w:rPr>
              <w:sym w:font="Wingdings" w:char="F0FD"/>
            </w:r>
            <w:r w:rsidRPr="00E24FB4">
              <w:rPr>
                <w:sz w:val="20"/>
                <w:szCs w:val="20"/>
              </w:rPr>
              <w:t xml:space="preserve"> Dividend </w:t>
            </w:r>
            <w:r w:rsidRPr="00E24FB4">
              <w:rPr>
                <w:sz w:val="20"/>
                <w:szCs w:val="20"/>
              </w:rPr>
              <w:sym w:font="Wingdings" w:char="F0FE"/>
            </w:r>
            <w:r w:rsidRPr="00E24FB4">
              <w:rPr>
                <w:sz w:val="20"/>
                <w:szCs w:val="20"/>
              </w:rPr>
              <w:t xml:space="preserve"> Low Float </w:t>
            </w:r>
            <w:r w:rsidRPr="00E24FB4">
              <w:rPr>
                <w:sz w:val="20"/>
                <w:szCs w:val="20"/>
              </w:rPr>
              <w:sym w:font="Wingdings" w:char="F0FD"/>
            </w:r>
            <w:r w:rsidRPr="00E24FB4">
              <w:rPr>
                <w:sz w:val="20"/>
                <w:szCs w:val="20"/>
              </w:rPr>
              <w:t xml:space="preserve"> Capital Allocation</w:t>
            </w:r>
          </w:p>
        </w:tc>
      </w:tr>
    </w:tbl>
    <w:p w14:paraId="24FD89E6" w14:textId="2D9FF2A8" w:rsidR="00BF354B" w:rsidRPr="00E24FB4" w:rsidRDefault="00BF354B" w:rsidP="00436A87">
      <w:pPr>
        <w:pStyle w:val="ListParagraph"/>
        <w:numPr>
          <w:ilvl w:val="0"/>
          <w:numId w:val="8"/>
        </w:numPr>
        <w:rPr>
          <w:b/>
          <w:bCs/>
          <w:sz w:val="20"/>
          <w:szCs w:val="20"/>
        </w:rPr>
      </w:pPr>
      <w:r w:rsidRPr="00E24FB4">
        <w:rPr>
          <w:b/>
          <w:bCs/>
          <w:sz w:val="20"/>
          <w:szCs w:val="20"/>
        </w:rPr>
        <w:t>Very low dividend pay-outs</w:t>
      </w:r>
    </w:p>
    <w:p w14:paraId="4D77C2D4" w14:textId="77777777" w:rsidR="00BF354B" w:rsidRPr="00E24FB4" w:rsidRDefault="005979D3" w:rsidP="00436A87">
      <w:pPr>
        <w:pStyle w:val="ListParagraph"/>
        <w:numPr>
          <w:ilvl w:val="0"/>
          <w:numId w:val="8"/>
        </w:numPr>
        <w:rPr>
          <w:sz w:val="20"/>
          <w:szCs w:val="20"/>
        </w:rPr>
      </w:pPr>
      <w:r w:rsidRPr="00E24FB4">
        <w:rPr>
          <w:b/>
          <w:bCs/>
          <w:sz w:val="20"/>
          <w:szCs w:val="20"/>
        </w:rPr>
        <w:t>Low Float</w:t>
      </w:r>
      <w:r w:rsidRPr="00E24FB4">
        <w:rPr>
          <w:sz w:val="20"/>
          <w:szCs w:val="20"/>
        </w:rPr>
        <w:t xml:space="preserve">: Promoter shareholding is </w:t>
      </w:r>
      <w:r w:rsidR="00BF354B" w:rsidRPr="00E24FB4">
        <w:rPr>
          <w:sz w:val="20"/>
          <w:szCs w:val="20"/>
        </w:rPr>
        <w:t>75</w:t>
      </w:r>
      <w:r w:rsidRPr="00E24FB4">
        <w:rPr>
          <w:sz w:val="20"/>
          <w:szCs w:val="20"/>
        </w:rPr>
        <w:t xml:space="preserve">% and </w:t>
      </w:r>
      <w:r w:rsidR="00BF354B" w:rsidRPr="00E24FB4">
        <w:rPr>
          <w:sz w:val="20"/>
          <w:szCs w:val="20"/>
        </w:rPr>
        <w:t>along with friends etc hold almost 85-90% of the stock.</w:t>
      </w:r>
    </w:p>
    <w:p w14:paraId="465F44A5" w14:textId="77777777" w:rsidR="00B16428" w:rsidRPr="00E24FB4" w:rsidRDefault="00B16428" w:rsidP="003103BF">
      <w:pPr>
        <w:rPr>
          <w:b/>
          <w:bCs/>
          <w:sz w:val="20"/>
          <w:szCs w:val="20"/>
        </w:rPr>
      </w:pPr>
    </w:p>
    <w:tbl>
      <w:tblPr>
        <w:tblStyle w:val="TableGrid"/>
        <w:tblW w:w="0" w:type="auto"/>
        <w:tblLook w:val="04A0" w:firstRow="1" w:lastRow="0" w:firstColumn="1" w:lastColumn="0" w:noHBand="0" w:noVBand="1"/>
      </w:tblPr>
      <w:tblGrid>
        <w:gridCol w:w="9010"/>
      </w:tblGrid>
      <w:tr w:rsidR="00E24FB4" w:rsidRPr="00E24FB4" w14:paraId="5D13DBCB" w14:textId="77777777" w:rsidTr="00764351">
        <w:tc>
          <w:tcPr>
            <w:tcW w:w="9010" w:type="dxa"/>
          </w:tcPr>
          <w:p w14:paraId="4FD94409" w14:textId="77777777" w:rsidR="005979D3" w:rsidRPr="00E24FB4" w:rsidRDefault="005979D3" w:rsidP="003103BF">
            <w:pPr>
              <w:rPr>
                <w:b/>
                <w:bCs/>
                <w:sz w:val="20"/>
                <w:szCs w:val="20"/>
              </w:rPr>
            </w:pPr>
            <w:r w:rsidRPr="00E24FB4">
              <w:rPr>
                <w:b/>
                <w:bCs/>
                <w:sz w:val="20"/>
                <w:szCs w:val="20"/>
              </w:rPr>
              <w:t>Risk and Mitigations</w:t>
            </w:r>
          </w:p>
        </w:tc>
      </w:tr>
    </w:tbl>
    <w:p w14:paraId="0A70385F" w14:textId="77777777" w:rsidR="00C64ED9" w:rsidRPr="00E24FB4" w:rsidRDefault="00C64ED9" w:rsidP="00436A87">
      <w:pPr>
        <w:pStyle w:val="ListParagraph"/>
        <w:numPr>
          <w:ilvl w:val="0"/>
          <w:numId w:val="10"/>
        </w:numPr>
        <w:rPr>
          <w:b/>
          <w:bCs/>
          <w:sz w:val="20"/>
          <w:szCs w:val="20"/>
        </w:rPr>
      </w:pPr>
      <w:r w:rsidRPr="00E24FB4">
        <w:rPr>
          <w:b/>
          <w:bCs/>
          <w:sz w:val="20"/>
          <w:szCs w:val="20"/>
        </w:rPr>
        <w:t>Business Risks</w:t>
      </w:r>
    </w:p>
    <w:p w14:paraId="0E2F5088" w14:textId="78C9F7FD" w:rsidR="005979D3" w:rsidRPr="000A029F" w:rsidRDefault="005979D3" w:rsidP="00436A87">
      <w:pPr>
        <w:pStyle w:val="ListParagraph"/>
        <w:numPr>
          <w:ilvl w:val="0"/>
          <w:numId w:val="9"/>
        </w:numPr>
        <w:ind w:left="993" w:hanging="284"/>
        <w:rPr>
          <w:b/>
          <w:bCs/>
          <w:sz w:val="20"/>
          <w:szCs w:val="20"/>
        </w:rPr>
      </w:pPr>
      <w:r w:rsidRPr="000A029F">
        <w:rPr>
          <w:b/>
          <w:bCs/>
          <w:sz w:val="20"/>
          <w:szCs w:val="20"/>
        </w:rPr>
        <w:t xml:space="preserve">Supply and/or demand disruption - </w:t>
      </w:r>
      <w:r w:rsidR="00BE4539" w:rsidRPr="000A029F">
        <w:rPr>
          <w:b/>
          <w:bCs/>
          <w:sz w:val="20"/>
          <w:szCs w:val="20"/>
        </w:rPr>
        <w:t>Medium</w:t>
      </w:r>
    </w:p>
    <w:p w14:paraId="359D74A3" w14:textId="3F8EBB15" w:rsidR="00BE4539" w:rsidRPr="000A029F" w:rsidRDefault="00BE4539" w:rsidP="00550D4E">
      <w:pPr>
        <w:ind w:left="982" w:firstLine="11"/>
        <w:rPr>
          <w:sz w:val="20"/>
          <w:szCs w:val="20"/>
        </w:rPr>
      </w:pPr>
      <w:r w:rsidRPr="000A029F">
        <w:rPr>
          <w:sz w:val="20"/>
          <w:szCs w:val="20"/>
        </w:rPr>
        <w:t>Dependence on China is a risk</w:t>
      </w:r>
      <w:r w:rsidR="000A029F">
        <w:rPr>
          <w:sz w:val="20"/>
          <w:szCs w:val="20"/>
        </w:rPr>
        <w:t xml:space="preserve"> – through supply disruption or increase in price of raw material</w:t>
      </w:r>
      <w:r w:rsidRPr="000A029F">
        <w:rPr>
          <w:sz w:val="20"/>
          <w:szCs w:val="20"/>
        </w:rPr>
        <w:t>, though reducing with the backward integration.</w:t>
      </w:r>
    </w:p>
    <w:p w14:paraId="52F91EE1" w14:textId="126F8B6B" w:rsidR="00550D4E" w:rsidRPr="00E24FB4" w:rsidRDefault="00BE4539" w:rsidP="00550D4E">
      <w:pPr>
        <w:ind w:left="982"/>
        <w:rPr>
          <w:sz w:val="20"/>
          <w:szCs w:val="20"/>
        </w:rPr>
      </w:pPr>
      <w:r w:rsidRPr="000A029F">
        <w:rPr>
          <w:sz w:val="20"/>
          <w:szCs w:val="20"/>
        </w:rPr>
        <w:t>Demand does not se</w:t>
      </w:r>
      <w:r w:rsidRPr="00E24FB4">
        <w:rPr>
          <w:sz w:val="20"/>
          <w:szCs w:val="20"/>
        </w:rPr>
        <w:t>em to be a big risk at this moment given the industry tailwinds.</w:t>
      </w:r>
      <w:r w:rsidR="00550D4E" w:rsidRPr="00E24FB4">
        <w:rPr>
          <w:sz w:val="20"/>
          <w:szCs w:val="20"/>
        </w:rPr>
        <w:t xml:space="preserve"> In the short term, dependence on monsoon and agroclimatic conditions can be a risk for domestic business.</w:t>
      </w:r>
    </w:p>
    <w:p w14:paraId="2338030E" w14:textId="77777777" w:rsidR="005979D3" w:rsidRPr="00E24FB4" w:rsidRDefault="005979D3" w:rsidP="00436A87">
      <w:pPr>
        <w:pStyle w:val="ListParagraph"/>
        <w:numPr>
          <w:ilvl w:val="0"/>
          <w:numId w:val="9"/>
        </w:numPr>
        <w:ind w:left="993" w:hanging="284"/>
        <w:rPr>
          <w:b/>
          <w:bCs/>
          <w:sz w:val="20"/>
          <w:szCs w:val="20"/>
        </w:rPr>
      </w:pPr>
      <w:r w:rsidRPr="00E24FB4">
        <w:rPr>
          <w:b/>
          <w:bCs/>
          <w:sz w:val="20"/>
          <w:szCs w:val="20"/>
        </w:rPr>
        <w:t>Single Point of Failure - High</w:t>
      </w:r>
    </w:p>
    <w:p w14:paraId="0E4625E0" w14:textId="3961304D" w:rsidR="00BE4539" w:rsidRDefault="00E9613B" w:rsidP="00C64ED9">
      <w:pPr>
        <w:ind w:left="993"/>
        <w:rPr>
          <w:sz w:val="20"/>
          <w:szCs w:val="20"/>
        </w:rPr>
      </w:pPr>
      <w:r w:rsidRPr="00E24FB4">
        <w:rPr>
          <w:sz w:val="20"/>
          <w:szCs w:val="20"/>
        </w:rPr>
        <w:t xml:space="preserve">Single plant risk – </w:t>
      </w:r>
      <w:proofErr w:type="spellStart"/>
      <w:r w:rsidRPr="00E24FB4">
        <w:rPr>
          <w:sz w:val="20"/>
          <w:szCs w:val="20"/>
        </w:rPr>
        <w:t>Dahej</w:t>
      </w:r>
      <w:proofErr w:type="spellEnd"/>
      <w:r w:rsidRPr="00E24FB4">
        <w:rPr>
          <w:sz w:val="20"/>
          <w:szCs w:val="20"/>
        </w:rPr>
        <w:t xml:space="preserve"> plant is almost c. 70% of BRL’s overall capacity. </w:t>
      </w:r>
      <w:r w:rsidR="00BE4539" w:rsidRPr="00E24FB4">
        <w:rPr>
          <w:sz w:val="20"/>
          <w:szCs w:val="20"/>
        </w:rPr>
        <w:t xml:space="preserve">Any issues at </w:t>
      </w:r>
      <w:proofErr w:type="spellStart"/>
      <w:r w:rsidR="00BE4539" w:rsidRPr="00E24FB4">
        <w:rPr>
          <w:sz w:val="20"/>
          <w:szCs w:val="20"/>
        </w:rPr>
        <w:t>Dahej</w:t>
      </w:r>
      <w:proofErr w:type="spellEnd"/>
      <w:r w:rsidR="00BE4539" w:rsidRPr="00E24FB4">
        <w:rPr>
          <w:sz w:val="20"/>
          <w:szCs w:val="20"/>
        </w:rPr>
        <w:t xml:space="preserve"> plant – regulatory, accidental, environment etc can impact the business materially, till the new capacity </w:t>
      </w:r>
      <w:r>
        <w:rPr>
          <w:sz w:val="20"/>
          <w:szCs w:val="20"/>
        </w:rPr>
        <w:t>(</w:t>
      </w:r>
      <w:proofErr w:type="spellStart"/>
      <w:r>
        <w:rPr>
          <w:sz w:val="20"/>
          <w:szCs w:val="20"/>
        </w:rPr>
        <w:t>Saykha</w:t>
      </w:r>
      <w:proofErr w:type="spellEnd"/>
      <w:r>
        <w:rPr>
          <w:sz w:val="20"/>
          <w:szCs w:val="20"/>
        </w:rPr>
        <w:t xml:space="preserve">) </w:t>
      </w:r>
      <w:r w:rsidR="00BE4539" w:rsidRPr="00E24FB4">
        <w:rPr>
          <w:sz w:val="20"/>
          <w:szCs w:val="20"/>
        </w:rPr>
        <w:t>becomes operational.</w:t>
      </w:r>
    </w:p>
    <w:p w14:paraId="64A4C750" w14:textId="33A58041" w:rsidR="005979D3" w:rsidRPr="00E24FB4" w:rsidRDefault="005979D3" w:rsidP="00436A87">
      <w:pPr>
        <w:pStyle w:val="ListParagraph"/>
        <w:numPr>
          <w:ilvl w:val="0"/>
          <w:numId w:val="9"/>
        </w:numPr>
        <w:ind w:left="993" w:hanging="284"/>
        <w:rPr>
          <w:b/>
          <w:bCs/>
          <w:sz w:val="20"/>
          <w:szCs w:val="20"/>
        </w:rPr>
      </w:pPr>
      <w:r w:rsidRPr="00E24FB4">
        <w:rPr>
          <w:b/>
          <w:bCs/>
          <w:sz w:val="20"/>
          <w:szCs w:val="20"/>
        </w:rPr>
        <w:t xml:space="preserve">Environmental – </w:t>
      </w:r>
      <w:r w:rsidR="00BE4539" w:rsidRPr="00E24FB4">
        <w:rPr>
          <w:b/>
          <w:bCs/>
          <w:sz w:val="20"/>
          <w:szCs w:val="20"/>
        </w:rPr>
        <w:t>Medium</w:t>
      </w:r>
    </w:p>
    <w:p w14:paraId="67BB33DA" w14:textId="640B13C9" w:rsidR="00BE4539" w:rsidRPr="00E24FB4" w:rsidRDefault="00BE4539" w:rsidP="00C64ED9">
      <w:pPr>
        <w:ind w:left="993"/>
        <w:rPr>
          <w:sz w:val="20"/>
          <w:szCs w:val="20"/>
        </w:rPr>
      </w:pPr>
      <w:proofErr w:type="spellStart"/>
      <w:r w:rsidRPr="00E24FB4">
        <w:rPr>
          <w:sz w:val="20"/>
          <w:szCs w:val="20"/>
        </w:rPr>
        <w:t>Dahej</w:t>
      </w:r>
      <w:proofErr w:type="spellEnd"/>
      <w:r w:rsidRPr="00E24FB4">
        <w:rPr>
          <w:sz w:val="20"/>
          <w:szCs w:val="20"/>
        </w:rPr>
        <w:t xml:space="preserve"> plant is located in a </w:t>
      </w:r>
      <w:r w:rsidR="008A726C" w:rsidRPr="00E24FB4">
        <w:rPr>
          <w:sz w:val="20"/>
          <w:szCs w:val="20"/>
        </w:rPr>
        <w:t xml:space="preserve">designated </w:t>
      </w:r>
      <w:r w:rsidR="00A37281">
        <w:rPr>
          <w:sz w:val="20"/>
          <w:szCs w:val="20"/>
        </w:rPr>
        <w:t xml:space="preserve">green zone </w:t>
      </w:r>
      <w:r w:rsidRPr="00E24FB4">
        <w:rPr>
          <w:sz w:val="20"/>
          <w:szCs w:val="20"/>
        </w:rPr>
        <w:t xml:space="preserve">chemical manufacturing zone and has required infrastructure etc to address environmental concerns. However, the business can get impacted if environmental clearances for expansions are delayed, or additional requirements are imposed thereby increasing overall costs. </w:t>
      </w:r>
    </w:p>
    <w:p w14:paraId="4A9D318F" w14:textId="7997D90F" w:rsidR="005979D3" w:rsidRPr="000A029F" w:rsidRDefault="005979D3" w:rsidP="00436A87">
      <w:pPr>
        <w:pStyle w:val="ListParagraph"/>
        <w:numPr>
          <w:ilvl w:val="0"/>
          <w:numId w:val="9"/>
        </w:numPr>
        <w:ind w:left="993" w:hanging="284"/>
        <w:rPr>
          <w:b/>
          <w:bCs/>
          <w:sz w:val="20"/>
          <w:szCs w:val="20"/>
        </w:rPr>
      </w:pPr>
      <w:r w:rsidRPr="000A029F">
        <w:rPr>
          <w:b/>
          <w:bCs/>
          <w:sz w:val="20"/>
          <w:szCs w:val="20"/>
        </w:rPr>
        <w:t xml:space="preserve">Regulatory – </w:t>
      </w:r>
      <w:r w:rsidR="006846F0" w:rsidRPr="000A029F">
        <w:rPr>
          <w:b/>
          <w:bCs/>
          <w:sz w:val="20"/>
          <w:szCs w:val="20"/>
        </w:rPr>
        <w:t>Medium</w:t>
      </w:r>
    </w:p>
    <w:p w14:paraId="6F5F2F2B" w14:textId="77777777" w:rsidR="00AE26C4" w:rsidRPr="00E24FB4" w:rsidRDefault="00AE26C4" w:rsidP="00C64ED9">
      <w:pPr>
        <w:ind w:left="993"/>
        <w:rPr>
          <w:sz w:val="20"/>
          <w:szCs w:val="20"/>
        </w:rPr>
      </w:pPr>
      <w:r w:rsidRPr="000A029F">
        <w:rPr>
          <w:sz w:val="20"/>
          <w:szCs w:val="20"/>
        </w:rPr>
        <w:t>Regulatory risk like ban of few pesticides by government recently can impact the business.</w:t>
      </w:r>
    </w:p>
    <w:p w14:paraId="41D7D77E" w14:textId="32F10FE0" w:rsidR="005979D3" w:rsidRPr="00E24FB4" w:rsidRDefault="005979D3" w:rsidP="00436A87">
      <w:pPr>
        <w:pStyle w:val="ListParagraph"/>
        <w:numPr>
          <w:ilvl w:val="0"/>
          <w:numId w:val="9"/>
        </w:numPr>
        <w:ind w:left="993" w:hanging="284"/>
        <w:rPr>
          <w:b/>
          <w:bCs/>
          <w:sz w:val="20"/>
          <w:szCs w:val="20"/>
        </w:rPr>
      </w:pPr>
      <w:r w:rsidRPr="00E24FB4">
        <w:rPr>
          <w:b/>
          <w:bCs/>
          <w:sz w:val="20"/>
          <w:szCs w:val="20"/>
        </w:rPr>
        <w:t xml:space="preserve">Buyer Power - </w:t>
      </w:r>
      <w:r w:rsidR="00AE26C4" w:rsidRPr="00E24FB4">
        <w:rPr>
          <w:b/>
          <w:bCs/>
          <w:sz w:val="20"/>
          <w:szCs w:val="20"/>
        </w:rPr>
        <w:t>Low</w:t>
      </w:r>
    </w:p>
    <w:p w14:paraId="5768AE0E" w14:textId="77777777" w:rsidR="00AE26C4" w:rsidRPr="00E24FB4" w:rsidRDefault="00AE26C4" w:rsidP="00C64ED9">
      <w:pPr>
        <w:ind w:left="993"/>
        <w:rPr>
          <w:sz w:val="20"/>
          <w:szCs w:val="20"/>
        </w:rPr>
      </w:pPr>
      <w:r w:rsidRPr="00E24FB4">
        <w:rPr>
          <w:sz w:val="20"/>
          <w:szCs w:val="20"/>
        </w:rPr>
        <w:t>Well diversified across multiple buyers.</w:t>
      </w:r>
    </w:p>
    <w:p w14:paraId="1D729B4F" w14:textId="2D99A1A2" w:rsidR="005979D3" w:rsidRPr="00E24FB4" w:rsidRDefault="005979D3" w:rsidP="00436A87">
      <w:pPr>
        <w:pStyle w:val="ListParagraph"/>
        <w:numPr>
          <w:ilvl w:val="0"/>
          <w:numId w:val="9"/>
        </w:numPr>
        <w:ind w:left="993" w:hanging="284"/>
        <w:rPr>
          <w:b/>
          <w:bCs/>
          <w:sz w:val="20"/>
          <w:szCs w:val="20"/>
        </w:rPr>
      </w:pPr>
      <w:r w:rsidRPr="00E24FB4">
        <w:rPr>
          <w:b/>
          <w:bCs/>
          <w:sz w:val="20"/>
          <w:szCs w:val="20"/>
        </w:rPr>
        <w:t xml:space="preserve">Competition - </w:t>
      </w:r>
      <w:r w:rsidR="00AE26C4" w:rsidRPr="00E24FB4">
        <w:rPr>
          <w:b/>
          <w:bCs/>
          <w:sz w:val="20"/>
          <w:szCs w:val="20"/>
        </w:rPr>
        <w:t>Low</w:t>
      </w:r>
    </w:p>
    <w:p w14:paraId="43439D2B" w14:textId="77777777" w:rsidR="00AE26C4" w:rsidRPr="00E24FB4" w:rsidRDefault="00AE26C4" w:rsidP="00C64ED9">
      <w:pPr>
        <w:ind w:left="993"/>
        <w:rPr>
          <w:sz w:val="20"/>
          <w:szCs w:val="20"/>
        </w:rPr>
      </w:pPr>
      <w:r w:rsidRPr="00E24FB4">
        <w:rPr>
          <w:sz w:val="20"/>
          <w:szCs w:val="20"/>
        </w:rPr>
        <w:t>BRL has been fairly successful thus far. No other industry player except PI industries have been so successful in CRAMS so far, evidencing BRL’s competitive strengths.</w:t>
      </w:r>
    </w:p>
    <w:p w14:paraId="17B6B994" w14:textId="77777777" w:rsidR="00CC06C6" w:rsidRPr="00E24FB4" w:rsidRDefault="00CC06C6" w:rsidP="003103BF">
      <w:pPr>
        <w:rPr>
          <w:b/>
          <w:bCs/>
          <w:sz w:val="20"/>
          <w:szCs w:val="20"/>
        </w:rPr>
      </w:pPr>
    </w:p>
    <w:p w14:paraId="5C3B2C60" w14:textId="77777777" w:rsidR="005979D3" w:rsidRPr="00E24FB4" w:rsidRDefault="00C64ED9" w:rsidP="00436A87">
      <w:pPr>
        <w:pStyle w:val="ListParagraph"/>
        <w:numPr>
          <w:ilvl w:val="0"/>
          <w:numId w:val="10"/>
        </w:numPr>
        <w:rPr>
          <w:b/>
          <w:bCs/>
          <w:sz w:val="20"/>
          <w:szCs w:val="20"/>
        </w:rPr>
      </w:pPr>
      <w:r w:rsidRPr="00E24FB4">
        <w:rPr>
          <w:b/>
          <w:bCs/>
          <w:sz w:val="20"/>
          <w:szCs w:val="20"/>
        </w:rPr>
        <w:t>Valuation Risks</w:t>
      </w:r>
    </w:p>
    <w:p w14:paraId="23B7A783" w14:textId="77777777" w:rsidR="00804201" w:rsidRPr="00E24FB4" w:rsidRDefault="00C64ED9" w:rsidP="00C64ED9">
      <w:pPr>
        <w:ind w:firstLine="720"/>
        <w:rPr>
          <w:b/>
          <w:bCs/>
          <w:sz w:val="20"/>
          <w:szCs w:val="20"/>
        </w:rPr>
      </w:pPr>
      <w:r w:rsidRPr="00E24FB4">
        <w:rPr>
          <w:b/>
          <w:bCs/>
          <w:sz w:val="20"/>
          <w:szCs w:val="20"/>
        </w:rPr>
        <w:t xml:space="preserve">Risk covered in the valuation multiples </w:t>
      </w:r>
    </w:p>
    <w:p w14:paraId="65224CCB" w14:textId="58006F38" w:rsidR="00C64ED9" w:rsidRPr="00E24FB4" w:rsidRDefault="00C64ED9" w:rsidP="00C64ED9">
      <w:pPr>
        <w:ind w:firstLine="720"/>
        <w:rPr>
          <w:sz w:val="20"/>
          <w:szCs w:val="20"/>
        </w:rPr>
      </w:pPr>
      <w:r w:rsidRPr="00E24FB4">
        <w:rPr>
          <w:sz w:val="20"/>
          <w:szCs w:val="20"/>
        </w:rPr>
        <w:sym w:font="Wingdings" w:char="F0FD"/>
      </w:r>
      <w:r w:rsidRPr="00E24FB4">
        <w:rPr>
          <w:sz w:val="20"/>
          <w:szCs w:val="20"/>
        </w:rPr>
        <w:t xml:space="preserve"> Everything </w:t>
      </w:r>
      <w:r w:rsidRPr="00E24FB4">
        <w:rPr>
          <w:sz w:val="20"/>
          <w:szCs w:val="20"/>
        </w:rPr>
        <w:sym w:font="Wingdings" w:char="F0FE"/>
      </w:r>
      <w:r w:rsidRPr="00E24FB4">
        <w:rPr>
          <w:sz w:val="20"/>
          <w:szCs w:val="20"/>
        </w:rPr>
        <w:t xml:space="preserve"> 20% Downside </w:t>
      </w:r>
      <w:r w:rsidRPr="00E24FB4">
        <w:rPr>
          <w:sz w:val="20"/>
          <w:szCs w:val="20"/>
        </w:rPr>
        <w:sym w:font="Wingdings" w:char="F0FD"/>
      </w:r>
      <w:r w:rsidRPr="00E24FB4">
        <w:rPr>
          <w:sz w:val="20"/>
          <w:szCs w:val="20"/>
        </w:rPr>
        <w:t xml:space="preserve"> 2-3</w:t>
      </w:r>
      <w:r w:rsidR="00BC046B" w:rsidRPr="00E24FB4">
        <w:rPr>
          <w:sz w:val="20"/>
          <w:szCs w:val="20"/>
        </w:rPr>
        <w:t>X</w:t>
      </w:r>
      <w:r w:rsidRPr="00E24FB4">
        <w:rPr>
          <w:sz w:val="20"/>
          <w:szCs w:val="20"/>
        </w:rPr>
        <w:t xml:space="preserve"> upside in 2-3 years</w:t>
      </w:r>
    </w:p>
    <w:p w14:paraId="14687875" w14:textId="2AD0995C" w:rsidR="00C64ED9" w:rsidRPr="00E24FB4" w:rsidRDefault="00C64ED9" w:rsidP="003103BF">
      <w:pPr>
        <w:rPr>
          <w:b/>
          <w:bCs/>
          <w:sz w:val="20"/>
          <w:szCs w:val="20"/>
        </w:rPr>
      </w:pPr>
    </w:p>
    <w:tbl>
      <w:tblPr>
        <w:tblStyle w:val="TableGrid"/>
        <w:tblW w:w="0" w:type="auto"/>
        <w:tblLook w:val="04A0" w:firstRow="1" w:lastRow="0" w:firstColumn="1" w:lastColumn="0" w:noHBand="0" w:noVBand="1"/>
      </w:tblPr>
      <w:tblGrid>
        <w:gridCol w:w="9010"/>
      </w:tblGrid>
      <w:tr w:rsidR="00421B9F" w:rsidRPr="00E24FB4" w14:paraId="6237E584" w14:textId="77777777" w:rsidTr="00764351">
        <w:tc>
          <w:tcPr>
            <w:tcW w:w="9010" w:type="dxa"/>
          </w:tcPr>
          <w:p w14:paraId="06E1DDE0" w14:textId="77777777" w:rsidR="00421B9F" w:rsidRPr="00E24FB4" w:rsidRDefault="00421B9F" w:rsidP="003103BF">
            <w:pPr>
              <w:rPr>
                <w:b/>
                <w:bCs/>
                <w:sz w:val="20"/>
                <w:szCs w:val="20"/>
              </w:rPr>
            </w:pPr>
            <w:r w:rsidRPr="00E24FB4">
              <w:rPr>
                <w:b/>
                <w:bCs/>
                <w:sz w:val="20"/>
                <w:szCs w:val="20"/>
              </w:rPr>
              <w:t>Liquidity Stress Tes</w:t>
            </w:r>
            <w:r w:rsidR="00C7015F" w:rsidRPr="00E24FB4">
              <w:rPr>
                <w:b/>
                <w:bCs/>
                <w:sz w:val="20"/>
                <w:szCs w:val="20"/>
              </w:rPr>
              <w:t>t: Can sit tight for 1-2 years despite:</w:t>
            </w:r>
          </w:p>
          <w:p w14:paraId="220984C9" w14:textId="28D4F05D" w:rsidR="00421B9F" w:rsidRPr="00E24FB4" w:rsidRDefault="00421B9F" w:rsidP="003103BF">
            <w:pPr>
              <w:rPr>
                <w:b/>
                <w:bCs/>
                <w:sz w:val="20"/>
                <w:szCs w:val="20"/>
              </w:rPr>
            </w:pPr>
            <w:r w:rsidRPr="00E24FB4">
              <w:rPr>
                <w:sz w:val="20"/>
                <w:szCs w:val="20"/>
              </w:rPr>
              <w:sym w:font="Wingdings" w:char="F0FE"/>
            </w:r>
            <w:r w:rsidRPr="00E24FB4">
              <w:rPr>
                <w:sz w:val="20"/>
                <w:szCs w:val="20"/>
              </w:rPr>
              <w:t xml:space="preserve"> </w:t>
            </w:r>
            <w:r w:rsidRPr="00E24FB4">
              <w:rPr>
                <w:b/>
                <w:bCs/>
                <w:sz w:val="20"/>
                <w:szCs w:val="20"/>
              </w:rPr>
              <w:t xml:space="preserve">Execution Delay </w:t>
            </w:r>
            <w:r w:rsidRPr="00E24FB4">
              <w:rPr>
                <w:sz w:val="20"/>
                <w:szCs w:val="20"/>
              </w:rPr>
              <w:sym w:font="Wingdings" w:char="F0FE"/>
            </w:r>
            <w:r w:rsidRPr="00E24FB4">
              <w:rPr>
                <w:sz w:val="20"/>
                <w:szCs w:val="20"/>
              </w:rPr>
              <w:t xml:space="preserve"> </w:t>
            </w:r>
            <w:r w:rsidRPr="00E24FB4">
              <w:rPr>
                <w:b/>
                <w:bCs/>
                <w:sz w:val="20"/>
                <w:szCs w:val="20"/>
              </w:rPr>
              <w:t>Business Temporary Issues</w:t>
            </w:r>
            <w:r w:rsidR="005179B4" w:rsidRPr="00E24FB4">
              <w:rPr>
                <w:b/>
                <w:bCs/>
                <w:sz w:val="20"/>
                <w:szCs w:val="20"/>
              </w:rPr>
              <w:t xml:space="preserve"> for 6m – 1 year</w:t>
            </w:r>
          </w:p>
        </w:tc>
      </w:tr>
    </w:tbl>
    <w:p w14:paraId="156CD245" w14:textId="77777777" w:rsidR="00C64ED9" w:rsidRPr="00E24FB4" w:rsidRDefault="00C64ED9" w:rsidP="003103BF">
      <w:pPr>
        <w:rPr>
          <w:b/>
          <w:bCs/>
          <w:sz w:val="20"/>
          <w:szCs w:val="20"/>
        </w:rPr>
      </w:pPr>
    </w:p>
    <w:tbl>
      <w:tblPr>
        <w:tblStyle w:val="TableGrid"/>
        <w:tblW w:w="0" w:type="auto"/>
        <w:tblLook w:val="04A0" w:firstRow="1" w:lastRow="0" w:firstColumn="1" w:lastColumn="0" w:noHBand="0" w:noVBand="1"/>
      </w:tblPr>
      <w:tblGrid>
        <w:gridCol w:w="9010"/>
      </w:tblGrid>
      <w:tr w:rsidR="00E24FB4" w:rsidRPr="00E24FB4" w14:paraId="1029D214" w14:textId="77777777" w:rsidTr="00764351">
        <w:tc>
          <w:tcPr>
            <w:tcW w:w="9010" w:type="dxa"/>
          </w:tcPr>
          <w:p w14:paraId="34ADF201" w14:textId="61ABE420" w:rsidR="00F860DF" w:rsidRPr="00E24FB4" w:rsidRDefault="00F860DF" w:rsidP="003103BF">
            <w:pPr>
              <w:rPr>
                <w:sz w:val="20"/>
                <w:szCs w:val="20"/>
              </w:rPr>
            </w:pPr>
            <w:r w:rsidRPr="00E24FB4">
              <w:rPr>
                <w:sz w:val="20"/>
                <w:szCs w:val="20"/>
              </w:rPr>
              <w:br w:type="page"/>
            </w:r>
            <w:r w:rsidRPr="00E24FB4">
              <w:rPr>
                <w:b/>
                <w:bCs/>
                <w:sz w:val="20"/>
                <w:szCs w:val="20"/>
              </w:rPr>
              <w:t xml:space="preserve">MEDIUM TERM VISIBILITY </w:t>
            </w:r>
          </w:p>
        </w:tc>
      </w:tr>
    </w:tbl>
    <w:p w14:paraId="6D5959C0" w14:textId="1317C916" w:rsidR="008F60EF" w:rsidRPr="00D20E9F" w:rsidRDefault="00F860DF" w:rsidP="00436A87">
      <w:pPr>
        <w:pStyle w:val="ListParagraph"/>
        <w:numPr>
          <w:ilvl w:val="3"/>
          <w:numId w:val="6"/>
        </w:numPr>
        <w:ind w:left="567" w:hanging="283"/>
        <w:rPr>
          <w:sz w:val="20"/>
          <w:szCs w:val="20"/>
        </w:rPr>
      </w:pPr>
      <w:r w:rsidRPr="00E24FB4">
        <w:rPr>
          <w:sz w:val="20"/>
          <w:szCs w:val="20"/>
        </w:rPr>
        <w:t>Earn</w:t>
      </w:r>
      <w:r w:rsidRPr="00D20E9F">
        <w:rPr>
          <w:sz w:val="20"/>
          <w:szCs w:val="20"/>
        </w:rPr>
        <w:t>ings</w:t>
      </w:r>
      <w:r w:rsidR="00E55E5A" w:rsidRPr="00D20E9F">
        <w:rPr>
          <w:sz w:val="20"/>
          <w:szCs w:val="20"/>
        </w:rPr>
        <w:t xml:space="preserve"> visibility - High</w:t>
      </w:r>
      <w:r w:rsidR="008F60EF" w:rsidRPr="00D20E9F">
        <w:rPr>
          <w:sz w:val="20"/>
          <w:szCs w:val="20"/>
        </w:rPr>
        <w:t xml:space="preserve"> - </w:t>
      </w:r>
      <w:r w:rsidR="00E55E5A" w:rsidRPr="00D20E9F">
        <w:rPr>
          <w:sz w:val="20"/>
          <w:szCs w:val="20"/>
        </w:rPr>
        <w:sym w:font="Wingdings" w:char="F0FE"/>
      </w:r>
      <w:r w:rsidR="00E55E5A" w:rsidRPr="00D20E9F">
        <w:rPr>
          <w:sz w:val="20"/>
          <w:szCs w:val="20"/>
        </w:rPr>
        <w:t xml:space="preserve"> </w:t>
      </w:r>
      <w:r w:rsidRPr="00D20E9F">
        <w:rPr>
          <w:sz w:val="20"/>
          <w:szCs w:val="20"/>
        </w:rPr>
        <w:t>Capex Completion</w:t>
      </w:r>
      <w:r w:rsidR="008F60EF" w:rsidRPr="00D20E9F">
        <w:rPr>
          <w:sz w:val="20"/>
          <w:szCs w:val="20"/>
        </w:rPr>
        <w:t xml:space="preserve">  </w:t>
      </w:r>
      <w:r w:rsidR="000A029F" w:rsidRPr="00D20E9F">
        <w:rPr>
          <w:sz w:val="20"/>
          <w:szCs w:val="20"/>
        </w:rPr>
        <w:sym w:font="Wingdings" w:char="F0FE"/>
      </w:r>
      <w:r w:rsidR="000A029F" w:rsidRPr="00D20E9F">
        <w:rPr>
          <w:sz w:val="20"/>
          <w:szCs w:val="20"/>
        </w:rPr>
        <w:t xml:space="preserve"> </w:t>
      </w:r>
      <w:r w:rsidRPr="00D20E9F">
        <w:rPr>
          <w:sz w:val="20"/>
          <w:szCs w:val="20"/>
        </w:rPr>
        <w:t>Order Book/Sales</w:t>
      </w:r>
      <w:r w:rsidR="008F60EF" w:rsidRPr="00D20E9F">
        <w:rPr>
          <w:sz w:val="20"/>
          <w:szCs w:val="20"/>
        </w:rPr>
        <w:t xml:space="preserve">. </w:t>
      </w:r>
      <w:r w:rsidR="008F60EF" w:rsidRPr="00D20E9F">
        <w:rPr>
          <w:sz w:val="20"/>
          <w:szCs w:val="20"/>
        </w:rPr>
        <w:sym w:font="Wingdings" w:char="F0FE"/>
      </w:r>
      <w:r w:rsidR="008F60EF" w:rsidRPr="00D20E9F">
        <w:rPr>
          <w:sz w:val="20"/>
          <w:szCs w:val="20"/>
        </w:rPr>
        <w:t xml:space="preserve"> </w:t>
      </w:r>
      <w:r w:rsidR="00E55E5A" w:rsidRPr="00D20E9F">
        <w:rPr>
          <w:sz w:val="20"/>
          <w:szCs w:val="20"/>
        </w:rPr>
        <w:t>New Capex</w:t>
      </w:r>
    </w:p>
    <w:p w14:paraId="5CE0AB2A" w14:textId="56683D04" w:rsidR="00E55E5A" w:rsidRPr="00D20E9F" w:rsidRDefault="00E55E5A" w:rsidP="00436A87">
      <w:pPr>
        <w:pStyle w:val="ListParagraph"/>
        <w:numPr>
          <w:ilvl w:val="4"/>
          <w:numId w:val="6"/>
        </w:numPr>
        <w:ind w:left="851" w:hanging="284"/>
        <w:rPr>
          <w:sz w:val="20"/>
          <w:szCs w:val="20"/>
        </w:rPr>
      </w:pPr>
      <w:proofErr w:type="spellStart"/>
      <w:r w:rsidRPr="00D20E9F">
        <w:rPr>
          <w:sz w:val="20"/>
          <w:szCs w:val="20"/>
        </w:rPr>
        <w:t>Visiblity</w:t>
      </w:r>
      <w:proofErr w:type="spellEnd"/>
      <w:r w:rsidRPr="00D20E9F">
        <w:rPr>
          <w:sz w:val="20"/>
          <w:szCs w:val="20"/>
        </w:rPr>
        <w:t xml:space="preserve"> in earnings from completion of capex at </w:t>
      </w:r>
      <w:proofErr w:type="spellStart"/>
      <w:r w:rsidRPr="00D20E9F">
        <w:rPr>
          <w:sz w:val="20"/>
          <w:szCs w:val="20"/>
        </w:rPr>
        <w:t>Dahej</w:t>
      </w:r>
      <w:proofErr w:type="spellEnd"/>
      <w:r w:rsidRPr="00D20E9F">
        <w:rPr>
          <w:sz w:val="20"/>
          <w:szCs w:val="20"/>
        </w:rPr>
        <w:t>, order book, Nissan JV</w:t>
      </w:r>
      <w:r w:rsidR="00D20E9F">
        <w:rPr>
          <w:sz w:val="20"/>
          <w:szCs w:val="20"/>
        </w:rPr>
        <w:t>/</w:t>
      </w:r>
      <w:proofErr w:type="spellStart"/>
      <w:r w:rsidRPr="00D20E9F">
        <w:rPr>
          <w:sz w:val="20"/>
          <w:szCs w:val="20"/>
        </w:rPr>
        <w:t>Saykha</w:t>
      </w:r>
      <w:proofErr w:type="spellEnd"/>
      <w:r w:rsidRPr="00D20E9F">
        <w:rPr>
          <w:sz w:val="20"/>
          <w:szCs w:val="20"/>
        </w:rPr>
        <w:t xml:space="preserve"> plant</w:t>
      </w:r>
    </w:p>
    <w:p w14:paraId="1EE4DDA1" w14:textId="6C436D74" w:rsidR="00713FE6" w:rsidRPr="00D20E9F" w:rsidRDefault="00713FE6" w:rsidP="00A37281">
      <w:pPr>
        <w:pStyle w:val="ListParagraph"/>
        <w:ind w:left="851"/>
        <w:rPr>
          <w:sz w:val="20"/>
          <w:szCs w:val="20"/>
        </w:rPr>
      </w:pPr>
      <w:r w:rsidRPr="00D20E9F">
        <w:rPr>
          <w:sz w:val="20"/>
          <w:szCs w:val="20"/>
        </w:rPr>
        <w:t>Total c</w:t>
      </w:r>
      <w:r w:rsidR="002F6CCC" w:rsidRPr="00D20E9F">
        <w:rPr>
          <w:sz w:val="20"/>
          <w:szCs w:val="20"/>
        </w:rPr>
        <w:t>a</w:t>
      </w:r>
      <w:r w:rsidRPr="00D20E9F">
        <w:rPr>
          <w:sz w:val="20"/>
          <w:szCs w:val="20"/>
        </w:rPr>
        <w:t xml:space="preserve">pex </w:t>
      </w:r>
      <w:r w:rsidR="00E03E9D" w:rsidRPr="00D20E9F">
        <w:rPr>
          <w:sz w:val="20"/>
          <w:szCs w:val="20"/>
        </w:rPr>
        <w:t>c. $60m ~ Rs</w:t>
      </w:r>
      <w:r w:rsidRPr="00D20E9F">
        <w:rPr>
          <w:sz w:val="20"/>
          <w:szCs w:val="20"/>
        </w:rPr>
        <w:t xml:space="preserve"> 450 </w:t>
      </w:r>
      <w:proofErr w:type="spellStart"/>
      <w:r w:rsidRPr="00D20E9F">
        <w:rPr>
          <w:sz w:val="20"/>
          <w:szCs w:val="20"/>
        </w:rPr>
        <w:t>crs</w:t>
      </w:r>
      <w:proofErr w:type="spellEnd"/>
      <w:r w:rsidR="006451ED" w:rsidRPr="00D20E9F">
        <w:rPr>
          <w:sz w:val="20"/>
          <w:szCs w:val="20"/>
        </w:rPr>
        <w:t xml:space="preserve"> over 2 years</w:t>
      </w:r>
    </w:p>
    <w:p w14:paraId="23C26615" w14:textId="4F30AC8D" w:rsidR="00713FE6" w:rsidRPr="00D20E9F" w:rsidRDefault="00713FE6" w:rsidP="00A37281">
      <w:pPr>
        <w:pStyle w:val="ListParagraph"/>
        <w:ind w:left="851"/>
        <w:rPr>
          <w:sz w:val="20"/>
          <w:szCs w:val="20"/>
        </w:rPr>
      </w:pPr>
      <w:r w:rsidRPr="00D20E9F">
        <w:rPr>
          <w:sz w:val="20"/>
          <w:szCs w:val="20"/>
        </w:rPr>
        <w:t xml:space="preserve">Assuming gross fixed asset turn @ </w:t>
      </w:r>
      <w:r w:rsidR="00E03E9D" w:rsidRPr="00D20E9F">
        <w:rPr>
          <w:sz w:val="20"/>
          <w:szCs w:val="20"/>
        </w:rPr>
        <w:t>2.75-</w:t>
      </w:r>
      <w:r w:rsidRPr="00D20E9F">
        <w:rPr>
          <w:sz w:val="20"/>
          <w:szCs w:val="20"/>
        </w:rPr>
        <w:t>3x</w:t>
      </w:r>
    </w:p>
    <w:p w14:paraId="66BAD048" w14:textId="454CFFF6" w:rsidR="00713FE6" w:rsidRPr="00D20E9F" w:rsidRDefault="00713FE6" w:rsidP="00A37281">
      <w:pPr>
        <w:pStyle w:val="ListParagraph"/>
        <w:ind w:left="851"/>
        <w:rPr>
          <w:sz w:val="20"/>
          <w:szCs w:val="20"/>
        </w:rPr>
      </w:pPr>
      <w:r w:rsidRPr="00D20E9F">
        <w:rPr>
          <w:sz w:val="20"/>
          <w:szCs w:val="20"/>
        </w:rPr>
        <w:t xml:space="preserve">Potential Sales </w:t>
      </w:r>
      <w:r w:rsidR="00E03E9D" w:rsidRPr="00D20E9F">
        <w:rPr>
          <w:sz w:val="20"/>
          <w:szCs w:val="20"/>
        </w:rPr>
        <w:t xml:space="preserve">let’s say </w:t>
      </w:r>
      <w:r w:rsidRPr="00D20E9F">
        <w:rPr>
          <w:sz w:val="20"/>
          <w:szCs w:val="20"/>
        </w:rPr>
        <w:t>Rs 1</w:t>
      </w:r>
      <w:r w:rsidR="00E03E9D" w:rsidRPr="00D20E9F">
        <w:rPr>
          <w:sz w:val="20"/>
          <w:szCs w:val="20"/>
        </w:rPr>
        <w:t>250</w:t>
      </w:r>
      <w:r w:rsidRPr="00D20E9F">
        <w:rPr>
          <w:sz w:val="20"/>
          <w:szCs w:val="20"/>
        </w:rPr>
        <w:t xml:space="preserve"> </w:t>
      </w:r>
      <w:proofErr w:type="spellStart"/>
      <w:r w:rsidRPr="00D20E9F">
        <w:rPr>
          <w:sz w:val="20"/>
          <w:szCs w:val="20"/>
        </w:rPr>
        <w:t>crs</w:t>
      </w:r>
      <w:proofErr w:type="spellEnd"/>
      <w:r w:rsidRPr="00D20E9F">
        <w:rPr>
          <w:sz w:val="20"/>
          <w:szCs w:val="20"/>
        </w:rPr>
        <w:t xml:space="preserve"> in </w:t>
      </w:r>
      <w:r w:rsidR="002F6CCC" w:rsidRPr="00D20E9F">
        <w:rPr>
          <w:sz w:val="20"/>
          <w:szCs w:val="20"/>
        </w:rPr>
        <w:t>say 3-4</w:t>
      </w:r>
      <w:r w:rsidRPr="00D20E9F">
        <w:rPr>
          <w:sz w:val="20"/>
          <w:szCs w:val="20"/>
        </w:rPr>
        <w:t xml:space="preserve"> years </w:t>
      </w:r>
    </w:p>
    <w:p w14:paraId="06E51090" w14:textId="09806DE2" w:rsidR="00A37281" w:rsidRPr="00D20E9F" w:rsidRDefault="00A37281" w:rsidP="00A37281">
      <w:pPr>
        <w:pStyle w:val="ListParagraph"/>
        <w:ind w:left="851"/>
        <w:rPr>
          <w:sz w:val="20"/>
          <w:szCs w:val="20"/>
        </w:rPr>
      </w:pPr>
      <w:r w:rsidRPr="00D20E9F">
        <w:rPr>
          <w:sz w:val="20"/>
          <w:szCs w:val="20"/>
        </w:rPr>
        <w:lastRenderedPageBreak/>
        <w:t>Expected OPM 2-3% higher so 19-20% becomes 2</w:t>
      </w:r>
      <w:r w:rsidR="002F6CCC" w:rsidRPr="00D20E9F">
        <w:rPr>
          <w:sz w:val="20"/>
          <w:szCs w:val="20"/>
        </w:rPr>
        <w:t>1</w:t>
      </w:r>
      <w:r w:rsidRPr="00D20E9F">
        <w:rPr>
          <w:sz w:val="20"/>
          <w:szCs w:val="20"/>
        </w:rPr>
        <w:t>-2</w:t>
      </w:r>
      <w:r w:rsidR="00E03E9D" w:rsidRPr="00D20E9F">
        <w:rPr>
          <w:sz w:val="20"/>
          <w:szCs w:val="20"/>
        </w:rPr>
        <w:t>3</w:t>
      </w:r>
      <w:r w:rsidRPr="00D20E9F">
        <w:rPr>
          <w:sz w:val="20"/>
          <w:szCs w:val="20"/>
        </w:rPr>
        <w:t>%</w:t>
      </w:r>
    </w:p>
    <w:p w14:paraId="20E82DA3" w14:textId="24EEBA79" w:rsidR="00A37281" w:rsidRPr="00D20E9F" w:rsidRDefault="00A37281" w:rsidP="00A37281">
      <w:pPr>
        <w:pStyle w:val="ListParagraph"/>
        <w:ind w:left="851"/>
        <w:rPr>
          <w:sz w:val="20"/>
          <w:szCs w:val="20"/>
        </w:rPr>
      </w:pPr>
      <w:r w:rsidRPr="00D20E9F">
        <w:rPr>
          <w:sz w:val="20"/>
          <w:szCs w:val="20"/>
        </w:rPr>
        <w:t xml:space="preserve">Incremental annual operating profit </w:t>
      </w:r>
      <w:r w:rsidR="00E03E9D" w:rsidRPr="00D20E9F">
        <w:rPr>
          <w:sz w:val="20"/>
          <w:szCs w:val="20"/>
        </w:rPr>
        <w:t xml:space="preserve">in the JV </w:t>
      </w:r>
      <w:r w:rsidR="002F6CCC" w:rsidRPr="00D20E9F">
        <w:rPr>
          <w:sz w:val="20"/>
          <w:szCs w:val="20"/>
        </w:rPr>
        <w:t>is</w:t>
      </w:r>
      <w:r w:rsidRPr="00D20E9F">
        <w:rPr>
          <w:sz w:val="20"/>
          <w:szCs w:val="20"/>
        </w:rPr>
        <w:t xml:space="preserve"> </w:t>
      </w:r>
      <w:r w:rsidR="00713FE6" w:rsidRPr="00D20E9F">
        <w:rPr>
          <w:sz w:val="20"/>
          <w:szCs w:val="20"/>
        </w:rPr>
        <w:t>1</w:t>
      </w:r>
      <w:r w:rsidR="00E03E9D" w:rsidRPr="00D20E9F">
        <w:rPr>
          <w:sz w:val="20"/>
          <w:szCs w:val="20"/>
        </w:rPr>
        <w:t>250</w:t>
      </w:r>
      <w:r w:rsidR="00713FE6" w:rsidRPr="00D20E9F">
        <w:rPr>
          <w:sz w:val="20"/>
          <w:szCs w:val="20"/>
        </w:rPr>
        <w:t>*2</w:t>
      </w:r>
      <w:r w:rsidR="00E03E9D" w:rsidRPr="00D20E9F">
        <w:rPr>
          <w:sz w:val="20"/>
          <w:szCs w:val="20"/>
        </w:rPr>
        <w:t>3</w:t>
      </w:r>
      <w:r w:rsidR="00713FE6" w:rsidRPr="00D20E9F">
        <w:rPr>
          <w:sz w:val="20"/>
          <w:szCs w:val="20"/>
        </w:rPr>
        <w:t xml:space="preserve">% = </w:t>
      </w:r>
      <w:r w:rsidR="00E03E9D" w:rsidRPr="00D20E9F">
        <w:rPr>
          <w:sz w:val="20"/>
          <w:szCs w:val="20"/>
        </w:rPr>
        <w:t>Rs 285-290</w:t>
      </w:r>
      <w:r w:rsidR="002E2EDB" w:rsidRPr="00D20E9F">
        <w:rPr>
          <w:sz w:val="20"/>
          <w:szCs w:val="20"/>
        </w:rPr>
        <w:t xml:space="preserve"> </w:t>
      </w:r>
      <w:proofErr w:type="spellStart"/>
      <w:r w:rsidR="002E2EDB" w:rsidRPr="00D20E9F">
        <w:rPr>
          <w:sz w:val="20"/>
          <w:szCs w:val="20"/>
        </w:rPr>
        <w:t>crs</w:t>
      </w:r>
      <w:proofErr w:type="spellEnd"/>
    </w:p>
    <w:p w14:paraId="0B46B7CC" w14:textId="54866175" w:rsidR="002E2EDB" w:rsidRPr="00D20E9F" w:rsidRDefault="002E2EDB" w:rsidP="00A37281">
      <w:pPr>
        <w:pStyle w:val="ListParagraph"/>
        <w:ind w:left="851"/>
        <w:rPr>
          <w:sz w:val="20"/>
          <w:szCs w:val="20"/>
        </w:rPr>
      </w:pPr>
      <w:r w:rsidRPr="00D20E9F">
        <w:rPr>
          <w:sz w:val="20"/>
          <w:szCs w:val="20"/>
        </w:rPr>
        <w:t>L</w:t>
      </w:r>
      <w:r w:rsidR="00713FE6" w:rsidRPr="00D20E9F">
        <w:rPr>
          <w:sz w:val="20"/>
          <w:szCs w:val="20"/>
        </w:rPr>
        <w:t xml:space="preserve">ess </w:t>
      </w:r>
      <w:r w:rsidRPr="00D20E9F">
        <w:rPr>
          <w:sz w:val="20"/>
          <w:szCs w:val="20"/>
        </w:rPr>
        <w:t xml:space="preserve">incremental </w:t>
      </w:r>
      <w:r w:rsidR="00713FE6" w:rsidRPr="00D20E9F">
        <w:rPr>
          <w:sz w:val="20"/>
          <w:szCs w:val="20"/>
        </w:rPr>
        <w:t>dep</w:t>
      </w:r>
      <w:r w:rsidRPr="00D20E9F">
        <w:rPr>
          <w:sz w:val="20"/>
          <w:szCs w:val="20"/>
        </w:rPr>
        <w:t xml:space="preserve">reciation c. Rs </w:t>
      </w:r>
      <w:r w:rsidR="00713FE6" w:rsidRPr="00D20E9F">
        <w:rPr>
          <w:sz w:val="20"/>
          <w:szCs w:val="20"/>
        </w:rPr>
        <w:t xml:space="preserve">45 </w:t>
      </w:r>
      <w:proofErr w:type="spellStart"/>
      <w:r w:rsidR="00713FE6" w:rsidRPr="00D20E9F">
        <w:rPr>
          <w:sz w:val="20"/>
          <w:szCs w:val="20"/>
        </w:rPr>
        <w:t>crs</w:t>
      </w:r>
      <w:proofErr w:type="spellEnd"/>
      <w:r w:rsidR="00713FE6" w:rsidRPr="00D20E9F">
        <w:rPr>
          <w:sz w:val="20"/>
          <w:szCs w:val="20"/>
        </w:rPr>
        <w:t xml:space="preserve"> </w:t>
      </w:r>
      <w:r w:rsidR="00E03E9D" w:rsidRPr="00D20E9F">
        <w:rPr>
          <w:sz w:val="20"/>
          <w:szCs w:val="20"/>
        </w:rPr>
        <w:t>(@ c. 10%)</w:t>
      </w:r>
    </w:p>
    <w:p w14:paraId="2A43BF21" w14:textId="1126799A" w:rsidR="002E2EDB" w:rsidRPr="00D20E9F" w:rsidRDefault="002E2EDB" w:rsidP="00A37281">
      <w:pPr>
        <w:pStyle w:val="ListParagraph"/>
        <w:ind w:left="851"/>
        <w:rPr>
          <w:sz w:val="20"/>
          <w:szCs w:val="20"/>
        </w:rPr>
      </w:pPr>
      <w:r w:rsidRPr="00D20E9F">
        <w:rPr>
          <w:sz w:val="20"/>
          <w:szCs w:val="20"/>
        </w:rPr>
        <w:t>L</w:t>
      </w:r>
      <w:r w:rsidR="00713FE6" w:rsidRPr="00D20E9F">
        <w:rPr>
          <w:sz w:val="20"/>
          <w:szCs w:val="20"/>
        </w:rPr>
        <w:t xml:space="preserve">ess </w:t>
      </w:r>
      <w:r w:rsidR="002F6CCC" w:rsidRPr="00D20E9F">
        <w:rPr>
          <w:sz w:val="20"/>
          <w:szCs w:val="20"/>
        </w:rPr>
        <w:t xml:space="preserve">incremental </w:t>
      </w:r>
      <w:r w:rsidR="00713FE6" w:rsidRPr="00D20E9F">
        <w:rPr>
          <w:sz w:val="20"/>
          <w:szCs w:val="20"/>
        </w:rPr>
        <w:t xml:space="preserve">interest </w:t>
      </w:r>
      <w:r w:rsidR="00E03E9D" w:rsidRPr="00D20E9F">
        <w:rPr>
          <w:sz w:val="20"/>
          <w:szCs w:val="20"/>
        </w:rPr>
        <w:t>c. Rs 22</w:t>
      </w:r>
      <w:r w:rsidR="00713FE6" w:rsidRPr="00D20E9F">
        <w:rPr>
          <w:sz w:val="20"/>
          <w:szCs w:val="20"/>
        </w:rPr>
        <w:t xml:space="preserve"> </w:t>
      </w:r>
      <w:proofErr w:type="spellStart"/>
      <w:r w:rsidR="00713FE6" w:rsidRPr="00D20E9F">
        <w:rPr>
          <w:sz w:val="20"/>
          <w:szCs w:val="20"/>
        </w:rPr>
        <w:t>crs</w:t>
      </w:r>
      <w:proofErr w:type="spellEnd"/>
      <w:r w:rsidR="00713FE6" w:rsidRPr="00D20E9F">
        <w:rPr>
          <w:sz w:val="20"/>
          <w:szCs w:val="20"/>
        </w:rPr>
        <w:t xml:space="preserve"> </w:t>
      </w:r>
      <w:r w:rsidR="002F6CCC" w:rsidRPr="00D20E9F">
        <w:rPr>
          <w:sz w:val="20"/>
          <w:szCs w:val="20"/>
        </w:rPr>
        <w:t xml:space="preserve">(Assuming </w:t>
      </w:r>
      <w:r w:rsidR="00E03E9D" w:rsidRPr="00D20E9F">
        <w:rPr>
          <w:sz w:val="20"/>
          <w:szCs w:val="20"/>
        </w:rPr>
        <w:t xml:space="preserve">50% </w:t>
      </w:r>
      <w:r w:rsidR="002F6CCC" w:rsidRPr="00D20E9F">
        <w:rPr>
          <w:sz w:val="20"/>
          <w:szCs w:val="20"/>
        </w:rPr>
        <w:t>debt funded)</w:t>
      </w:r>
    </w:p>
    <w:p w14:paraId="12C30216" w14:textId="59A0F671" w:rsidR="002E2EDB" w:rsidRPr="00D20E9F" w:rsidRDefault="002F6CCC" w:rsidP="00A37281">
      <w:pPr>
        <w:pStyle w:val="ListParagraph"/>
        <w:ind w:left="851"/>
        <w:rPr>
          <w:sz w:val="20"/>
          <w:szCs w:val="20"/>
        </w:rPr>
      </w:pPr>
      <w:r w:rsidRPr="00D20E9F">
        <w:rPr>
          <w:sz w:val="20"/>
          <w:szCs w:val="20"/>
        </w:rPr>
        <w:t xml:space="preserve">Incremental </w:t>
      </w:r>
      <w:r w:rsidR="00713FE6" w:rsidRPr="00D20E9F">
        <w:rPr>
          <w:sz w:val="20"/>
          <w:szCs w:val="20"/>
        </w:rPr>
        <w:t xml:space="preserve">PBT </w:t>
      </w:r>
      <w:r w:rsidR="00E03E9D" w:rsidRPr="00D20E9F">
        <w:rPr>
          <w:sz w:val="20"/>
          <w:szCs w:val="20"/>
        </w:rPr>
        <w:t>c. Rs 223</w:t>
      </w:r>
      <w:r w:rsidR="002E2EDB" w:rsidRPr="00D20E9F">
        <w:rPr>
          <w:sz w:val="20"/>
          <w:szCs w:val="20"/>
        </w:rPr>
        <w:t xml:space="preserve"> </w:t>
      </w:r>
      <w:proofErr w:type="spellStart"/>
      <w:r w:rsidR="00713FE6" w:rsidRPr="00D20E9F">
        <w:rPr>
          <w:sz w:val="20"/>
          <w:szCs w:val="20"/>
        </w:rPr>
        <w:t>crs</w:t>
      </w:r>
      <w:proofErr w:type="spellEnd"/>
      <w:r w:rsidR="00713FE6" w:rsidRPr="00D20E9F">
        <w:rPr>
          <w:sz w:val="20"/>
          <w:szCs w:val="20"/>
        </w:rPr>
        <w:t xml:space="preserve"> </w:t>
      </w:r>
    </w:p>
    <w:p w14:paraId="49CE781F" w14:textId="10010603" w:rsidR="002E2EDB" w:rsidRPr="00D20E9F" w:rsidRDefault="002E2EDB" w:rsidP="00A37281">
      <w:pPr>
        <w:pStyle w:val="ListParagraph"/>
        <w:ind w:left="851"/>
        <w:rPr>
          <w:sz w:val="20"/>
          <w:szCs w:val="20"/>
        </w:rPr>
      </w:pPr>
      <w:r w:rsidRPr="00D20E9F">
        <w:rPr>
          <w:sz w:val="20"/>
          <w:szCs w:val="20"/>
        </w:rPr>
        <w:t xml:space="preserve">Less Tax </w:t>
      </w:r>
      <w:r w:rsidR="00E03E9D" w:rsidRPr="00D20E9F">
        <w:rPr>
          <w:sz w:val="20"/>
          <w:szCs w:val="20"/>
        </w:rPr>
        <w:t>@ 15% ~ c. Rs 190</w:t>
      </w:r>
      <w:r w:rsidRPr="00D20E9F">
        <w:rPr>
          <w:sz w:val="20"/>
          <w:szCs w:val="20"/>
        </w:rPr>
        <w:t xml:space="preserve"> </w:t>
      </w:r>
      <w:proofErr w:type="spellStart"/>
      <w:r w:rsidRPr="00D20E9F">
        <w:rPr>
          <w:sz w:val="20"/>
          <w:szCs w:val="20"/>
        </w:rPr>
        <w:t>crs</w:t>
      </w:r>
      <w:proofErr w:type="spellEnd"/>
    </w:p>
    <w:p w14:paraId="46B4EA54" w14:textId="77777777" w:rsidR="00D20E9F" w:rsidRPr="00D20E9F" w:rsidRDefault="00E03E9D" w:rsidP="00A37281">
      <w:pPr>
        <w:pStyle w:val="ListParagraph"/>
        <w:ind w:left="851"/>
        <w:rPr>
          <w:sz w:val="20"/>
          <w:szCs w:val="20"/>
        </w:rPr>
      </w:pPr>
      <w:r w:rsidRPr="00D20E9F">
        <w:rPr>
          <w:sz w:val="20"/>
          <w:szCs w:val="20"/>
        </w:rPr>
        <w:t xml:space="preserve">BRL’s share ` 30% ~ c. Rs </w:t>
      </w:r>
      <w:r w:rsidR="00D20E9F" w:rsidRPr="00D20E9F">
        <w:rPr>
          <w:sz w:val="20"/>
          <w:szCs w:val="20"/>
        </w:rPr>
        <w:t xml:space="preserve">57 </w:t>
      </w:r>
      <w:proofErr w:type="spellStart"/>
      <w:r w:rsidR="00D20E9F" w:rsidRPr="00D20E9F">
        <w:rPr>
          <w:sz w:val="20"/>
          <w:szCs w:val="20"/>
        </w:rPr>
        <w:t>crs</w:t>
      </w:r>
      <w:proofErr w:type="spellEnd"/>
    </w:p>
    <w:p w14:paraId="12AD8550" w14:textId="51606D18" w:rsidR="00D20E9F" w:rsidRDefault="00D20E9F" w:rsidP="00A37281">
      <w:pPr>
        <w:pStyle w:val="ListParagraph"/>
        <w:ind w:left="851"/>
        <w:rPr>
          <w:sz w:val="20"/>
          <w:szCs w:val="20"/>
        </w:rPr>
      </w:pPr>
      <w:r w:rsidRPr="00D20E9F">
        <w:rPr>
          <w:sz w:val="20"/>
          <w:szCs w:val="20"/>
        </w:rPr>
        <w:t>This profit in JV is in addition to the c. 20% CAGR growth expected in the existing base business.</w:t>
      </w:r>
    </w:p>
    <w:p w14:paraId="2A7B859F" w14:textId="4F9B44DC" w:rsidR="00713FE6" w:rsidRPr="00E24FB4" w:rsidRDefault="00D20E9F" w:rsidP="00A37281">
      <w:pPr>
        <w:pStyle w:val="ListParagraph"/>
        <w:ind w:left="851"/>
        <w:rPr>
          <w:sz w:val="20"/>
          <w:szCs w:val="20"/>
        </w:rPr>
      </w:pPr>
      <w:r>
        <w:rPr>
          <w:sz w:val="20"/>
          <w:szCs w:val="20"/>
        </w:rPr>
        <w:t xml:space="preserve"> </w:t>
      </w:r>
    </w:p>
    <w:p w14:paraId="78078FF6" w14:textId="68BD884B" w:rsidR="00E55E5A" w:rsidRPr="00E24FB4" w:rsidRDefault="00E55E5A" w:rsidP="00436A87">
      <w:pPr>
        <w:pStyle w:val="ListParagraph"/>
        <w:numPr>
          <w:ilvl w:val="3"/>
          <w:numId w:val="6"/>
        </w:numPr>
        <w:ind w:left="567" w:hanging="283"/>
        <w:rPr>
          <w:sz w:val="20"/>
          <w:szCs w:val="20"/>
        </w:rPr>
      </w:pPr>
      <w:r w:rsidRPr="00E24FB4">
        <w:rPr>
          <w:sz w:val="20"/>
          <w:szCs w:val="20"/>
        </w:rPr>
        <w:t xml:space="preserve">Margins visibility – </w:t>
      </w:r>
      <w:proofErr w:type="gramStart"/>
      <w:r w:rsidRPr="00E24FB4">
        <w:rPr>
          <w:sz w:val="20"/>
          <w:szCs w:val="20"/>
        </w:rPr>
        <w:t>High  -</w:t>
      </w:r>
      <w:proofErr w:type="gramEnd"/>
      <w:r w:rsidRPr="00E24FB4">
        <w:rPr>
          <w:sz w:val="20"/>
          <w:szCs w:val="20"/>
        </w:rPr>
        <w:t xml:space="preserve"> </w:t>
      </w:r>
      <w:r w:rsidRPr="00E24FB4">
        <w:rPr>
          <w:sz w:val="20"/>
          <w:szCs w:val="20"/>
        </w:rPr>
        <w:sym w:font="Wingdings" w:char="F0FD"/>
      </w:r>
      <w:r w:rsidRPr="00E24FB4">
        <w:rPr>
          <w:sz w:val="20"/>
          <w:szCs w:val="20"/>
        </w:rPr>
        <w:t xml:space="preserve"> Pricing  </w:t>
      </w:r>
      <w:r w:rsidRPr="00E24FB4">
        <w:rPr>
          <w:sz w:val="20"/>
          <w:szCs w:val="20"/>
        </w:rPr>
        <w:sym w:font="Wingdings" w:char="F0FD"/>
      </w:r>
      <w:r w:rsidRPr="00E24FB4">
        <w:rPr>
          <w:sz w:val="20"/>
          <w:szCs w:val="20"/>
        </w:rPr>
        <w:t xml:space="preserve"> Raw Material </w:t>
      </w:r>
      <w:r w:rsidRPr="00E24FB4">
        <w:rPr>
          <w:sz w:val="20"/>
          <w:szCs w:val="20"/>
        </w:rPr>
        <w:sym w:font="Wingdings" w:char="F0FD"/>
      </w:r>
      <w:r w:rsidRPr="00E24FB4">
        <w:rPr>
          <w:sz w:val="20"/>
          <w:szCs w:val="20"/>
        </w:rPr>
        <w:t xml:space="preserve">Employee Costs </w:t>
      </w:r>
      <w:r w:rsidRPr="00E24FB4">
        <w:rPr>
          <w:sz w:val="20"/>
          <w:szCs w:val="20"/>
        </w:rPr>
        <w:sym w:font="Wingdings" w:char="F0FE"/>
      </w:r>
      <w:r w:rsidRPr="00E24FB4">
        <w:rPr>
          <w:sz w:val="20"/>
          <w:szCs w:val="20"/>
        </w:rPr>
        <w:t xml:space="preserve"> Product Mix </w:t>
      </w:r>
      <w:r w:rsidRPr="00E24FB4">
        <w:rPr>
          <w:sz w:val="20"/>
          <w:szCs w:val="20"/>
        </w:rPr>
        <w:sym w:font="Wingdings" w:char="F0FE"/>
      </w:r>
      <w:r w:rsidRPr="00E24FB4">
        <w:rPr>
          <w:sz w:val="20"/>
          <w:szCs w:val="20"/>
        </w:rPr>
        <w:t xml:space="preserve"> Higher export sales </w:t>
      </w:r>
      <w:r w:rsidRPr="00E24FB4">
        <w:rPr>
          <w:sz w:val="20"/>
          <w:szCs w:val="20"/>
        </w:rPr>
        <w:sym w:font="Wingdings" w:char="F0FE"/>
      </w:r>
      <w:r w:rsidRPr="00E24FB4">
        <w:rPr>
          <w:sz w:val="20"/>
          <w:szCs w:val="20"/>
        </w:rPr>
        <w:t xml:space="preserve"> Backward integration</w:t>
      </w:r>
    </w:p>
    <w:p w14:paraId="171B12C0" w14:textId="2FCFD7EF" w:rsidR="00E55E5A" w:rsidRPr="00E24FB4" w:rsidRDefault="00E55E5A" w:rsidP="00E55E5A">
      <w:pPr>
        <w:pStyle w:val="ListParagraph"/>
        <w:ind w:left="567"/>
        <w:rPr>
          <w:sz w:val="20"/>
          <w:szCs w:val="20"/>
        </w:rPr>
      </w:pPr>
      <w:r w:rsidRPr="00E24FB4">
        <w:rPr>
          <w:sz w:val="20"/>
          <w:szCs w:val="20"/>
        </w:rPr>
        <w:t>Higher export sales, higher CRAMs (especially if patented) and backward integration</w:t>
      </w:r>
    </w:p>
    <w:p w14:paraId="1703FE93" w14:textId="57FC3807" w:rsidR="00E55E5A" w:rsidRPr="00E24FB4" w:rsidRDefault="00E55E5A" w:rsidP="00436A87">
      <w:pPr>
        <w:pStyle w:val="ListParagraph"/>
        <w:numPr>
          <w:ilvl w:val="3"/>
          <w:numId w:val="6"/>
        </w:numPr>
        <w:ind w:left="567" w:hanging="283"/>
        <w:rPr>
          <w:sz w:val="20"/>
          <w:szCs w:val="20"/>
        </w:rPr>
      </w:pPr>
      <w:r w:rsidRPr="00E24FB4">
        <w:rPr>
          <w:sz w:val="20"/>
          <w:szCs w:val="20"/>
        </w:rPr>
        <w:t xml:space="preserve">Margin sustainability – High - </w:t>
      </w:r>
      <w:r w:rsidRPr="00E24FB4">
        <w:rPr>
          <w:sz w:val="20"/>
          <w:szCs w:val="20"/>
        </w:rPr>
        <w:sym w:font="Wingdings" w:char="F0FD"/>
      </w:r>
      <w:r w:rsidRPr="00E24FB4">
        <w:rPr>
          <w:sz w:val="20"/>
          <w:szCs w:val="20"/>
        </w:rPr>
        <w:t xml:space="preserve"> Government / regulatory mandate </w:t>
      </w:r>
      <w:r w:rsidRPr="00E24FB4">
        <w:rPr>
          <w:sz w:val="20"/>
          <w:szCs w:val="20"/>
        </w:rPr>
        <w:sym w:font="Wingdings" w:char="F0FD"/>
      </w:r>
      <w:r w:rsidRPr="00E24FB4">
        <w:rPr>
          <w:sz w:val="20"/>
          <w:szCs w:val="20"/>
        </w:rPr>
        <w:t xml:space="preserve"> Asset Monopoly </w:t>
      </w:r>
      <w:r w:rsidRPr="00E24FB4">
        <w:rPr>
          <w:sz w:val="20"/>
          <w:szCs w:val="20"/>
        </w:rPr>
        <w:sym w:font="Wingdings" w:char="F0FD"/>
      </w:r>
      <w:r w:rsidRPr="00E24FB4">
        <w:rPr>
          <w:sz w:val="20"/>
          <w:szCs w:val="20"/>
        </w:rPr>
        <w:t xml:space="preserve"> Oligopoly / Duopoly </w:t>
      </w:r>
      <w:r w:rsidRPr="00E24FB4">
        <w:rPr>
          <w:sz w:val="20"/>
          <w:szCs w:val="20"/>
        </w:rPr>
        <w:sym w:font="Wingdings" w:char="F0FE"/>
      </w:r>
      <w:r w:rsidRPr="00E24FB4">
        <w:rPr>
          <w:sz w:val="20"/>
          <w:szCs w:val="20"/>
        </w:rPr>
        <w:t xml:space="preserve"> Free competition </w:t>
      </w:r>
    </w:p>
    <w:p w14:paraId="7335C21E" w14:textId="2A03410B" w:rsidR="00E55E5A" w:rsidRPr="00E24FB4" w:rsidRDefault="00E55E5A" w:rsidP="00436A87">
      <w:pPr>
        <w:pStyle w:val="ListParagraph"/>
        <w:numPr>
          <w:ilvl w:val="3"/>
          <w:numId w:val="6"/>
        </w:numPr>
        <w:ind w:left="567" w:hanging="283"/>
        <w:rPr>
          <w:sz w:val="20"/>
          <w:szCs w:val="20"/>
        </w:rPr>
      </w:pPr>
      <w:r w:rsidRPr="00E24FB4">
        <w:rPr>
          <w:sz w:val="20"/>
          <w:szCs w:val="20"/>
        </w:rPr>
        <w:t xml:space="preserve">Capital Efficiency – </w:t>
      </w:r>
      <w:r w:rsidRPr="00E24FB4">
        <w:rPr>
          <w:sz w:val="20"/>
          <w:szCs w:val="20"/>
        </w:rPr>
        <w:sym w:font="Wingdings" w:char="F0FE"/>
      </w:r>
      <w:r w:rsidRPr="00E24FB4">
        <w:rPr>
          <w:sz w:val="20"/>
          <w:szCs w:val="20"/>
        </w:rPr>
        <w:t xml:space="preserve"> Asset Turns </w:t>
      </w:r>
      <w:r w:rsidRPr="00E24FB4">
        <w:rPr>
          <w:sz w:val="20"/>
          <w:szCs w:val="20"/>
        </w:rPr>
        <w:sym w:font="Wingdings" w:char="F0FD"/>
      </w:r>
      <w:r w:rsidRPr="00E24FB4">
        <w:rPr>
          <w:sz w:val="20"/>
          <w:szCs w:val="20"/>
        </w:rPr>
        <w:t xml:space="preserve"> Capital Turns </w:t>
      </w:r>
      <w:r w:rsidRPr="00E24FB4">
        <w:rPr>
          <w:sz w:val="20"/>
          <w:szCs w:val="20"/>
        </w:rPr>
        <w:sym w:font="Wingdings" w:char="F0FD"/>
      </w:r>
      <w:r w:rsidRPr="00E24FB4">
        <w:rPr>
          <w:sz w:val="20"/>
          <w:szCs w:val="20"/>
        </w:rPr>
        <w:t xml:space="preserve"> Working capital efficiency</w:t>
      </w:r>
    </w:p>
    <w:p w14:paraId="5AA89F44" w14:textId="00E0BDE0" w:rsidR="003103BF" w:rsidRPr="00E24FB4" w:rsidRDefault="003103BF">
      <w:pPr>
        <w:rPr>
          <w:sz w:val="20"/>
          <w:szCs w:val="20"/>
        </w:rPr>
      </w:pPr>
    </w:p>
    <w:tbl>
      <w:tblPr>
        <w:tblStyle w:val="TableGrid"/>
        <w:tblW w:w="0" w:type="auto"/>
        <w:tblLook w:val="04A0" w:firstRow="1" w:lastRow="0" w:firstColumn="1" w:lastColumn="0" w:noHBand="0" w:noVBand="1"/>
      </w:tblPr>
      <w:tblGrid>
        <w:gridCol w:w="9010"/>
      </w:tblGrid>
      <w:tr w:rsidR="001E5371" w:rsidRPr="00E24FB4" w14:paraId="352A86D3" w14:textId="77777777" w:rsidTr="00764351">
        <w:tc>
          <w:tcPr>
            <w:tcW w:w="9010" w:type="dxa"/>
          </w:tcPr>
          <w:p w14:paraId="2FB0AEF4" w14:textId="77777777" w:rsidR="001E5371" w:rsidRPr="00E24FB4" w:rsidRDefault="001E5371">
            <w:pPr>
              <w:rPr>
                <w:b/>
                <w:bCs/>
                <w:sz w:val="20"/>
                <w:szCs w:val="20"/>
              </w:rPr>
            </w:pPr>
            <w:r w:rsidRPr="00E24FB4">
              <w:rPr>
                <w:b/>
                <w:bCs/>
                <w:sz w:val="20"/>
                <w:szCs w:val="20"/>
              </w:rPr>
              <w:t>INVESTMENT RATIONALE</w:t>
            </w:r>
          </w:p>
          <w:p w14:paraId="2BD8BF2A" w14:textId="27079C66" w:rsidR="001E5371" w:rsidRPr="00E24FB4" w:rsidRDefault="001E5371">
            <w:pPr>
              <w:rPr>
                <w:b/>
                <w:bCs/>
                <w:sz w:val="20"/>
                <w:szCs w:val="20"/>
              </w:rPr>
            </w:pPr>
            <w:r w:rsidRPr="00E24FB4">
              <w:rPr>
                <w:sz w:val="20"/>
                <w:szCs w:val="20"/>
              </w:rPr>
              <w:sym w:font="Wingdings" w:char="F0FD"/>
            </w:r>
            <w:r w:rsidRPr="00E24FB4">
              <w:rPr>
                <w:sz w:val="20"/>
                <w:szCs w:val="20"/>
              </w:rPr>
              <w:t xml:space="preserve"> </w:t>
            </w:r>
            <w:r w:rsidRPr="00E24FB4">
              <w:rPr>
                <w:b/>
                <w:bCs/>
                <w:sz w:val="20"/>
                <w:szCs w:val="20"/>
              </w:rPr>
              <w:t xml:space="preserve">Strategic </w:t>
            </w:r>
            <w:r w:rsidR="0093362D" w:rsidRPr="00E24FB4">
              <w:rPr>
                <w:sz w:val="20"/>
                <w:szCs w:val="20"/>
              </w:rPr>
              <w:sym w:font="Wingdings" w:char="F0FE"/>
            </w:r>
            <w:r w:rsidR="0093362D" w:rsidRPr="00E24FB4">
              <w:rPr>
                <w:sz w:val="20"/>
                <w:szCs w:val="20"/>
              </w:rPr>
              <w:t xml:space="preserve"> </w:t>
            </w:r>
            <w:r w:rsidRPr="00E24FB4">
              <w:rPr>
                <w:b/>
                <w:bCs/>
                <w:sz w:val="20"/>
                <w:szCs w:val="20"/>
              </w:rPr>
              <w:t xml:space="preserve">2-3x in 2-3 years </w:t>
            </w:r>
            <w:r w:rsidR="0093362D" w:rsidRPr="00E24FB4">
              <w:rPr>
                <w:sz w:val="20"/>
                <w:szCs w:val="20"/>
              </w:rPr>
              <w:sym w:font="Wingdings" w:char="F0FE"/>
            </w:r>
            <w:r w:rsidR="0093362D" w:rsidRPr="00E24FB4">
              <w:rPr>
                <w:sz w:val="20"/>
                <w:szCs w:val="20"/>
              </w:rPr>
              <w:t xml:space="preserve"> </w:t>
            </w:r>
            <w:r w:rsidRPr="00E24FB4">
              <w:rPr>
                <w:b/>
                <w:bCs/>
                <w:sz w:val="20"/>
                <w:szCs w:val="20"/>
              </w:rPr>
              <w:t xml:space="preserve">10x in 10 years </w:t>
            </w:r>
            <w:r w:rsidR="0093362D" w:rsidRPr="00E24FB4">
              <w:rPr>
                <w:sz w:val="20"/>
                <w:szCs w:val="20"/>
              </w:rPr>
              <w:sym w:font="Wingdings" w:char="F0FD"/>
            </w:r>
            <w:r w:rsidR="0093362D" w:rsidRPr="00E24FB4">
              <w:rPr>
                <w:sz w:val="20"/>
                <w:szCs w:val="20"/>
              </w:rPr>
              <w:t xml:space="preserve"> </w:t>
            </w:r>
            <w:r w:rsidRPr="00E24FB4">
              <w:rPr>
                <w:b/>
                <w:bCs/>
                <w:sz w:val="20"/>
                <w:szCs w:val="20"/>
              </w:rPr>
              <w:t>Opportunistic (50-100% pop)</w:t>
            </w:r>
          </w:p>
        </w:tc>
      </w:tr>
    </w:tbl>
    <w:p w14:paraId="6668B914" w14:textId="49CFE522" w:rsidR="00BC046B" w:rsidRDefault="000A029F">
      <w:pPr>
        <w:rPr>
          <w:sz w:val="20"/>
          <w:szCs w:val="20"/>
        </w:rPr>
      </w:pPr>
      <w:r>
        <w:rPr>
          <w:sz w:val="20"/>
          <w:szCs w:val="20"/>
        </w:rPr>
        <w:t>Company is at a key inflection point with the Nissan JV. Deep relationships and execution track record can take BR to the next level.</w:t>
      </w:r>
    </w:p>
    <w:p w14:paraId="5774F7C0" w14:textId="09364619" w:rsidR="000A029F" w:rsidRDefault="000A029F">
      <w:pPr>
        <w:rPr>
          <w:sz w:val="20"/>
          <w:szCs w:val="20"/>
        </w:rPr>
      </w:pPr>
    </w:p>
    <w:p w14:paraId="022BE488" w14:textId="77777777" w:rsidR="00CA173B" w:rsidRDefault="00CA173B">
      <w:pPr>
        <w:rPr>
          <w:sz w:val="20"/>
          <w:szCs w:val="20"/>
        </w:rPr>
      </w:pPr>
    </w:p>
    <w:p w14:paraId="77F5A307" w14:textId="77777777" w:rsidR="000A029F" w:rsidRPr="00E24FB4" w:rsidRDefault="000A029F">
      <w:pPr>
        <w:rPr>
          <w:sz w:val="20"/>
          <w:szCs w:val="20"/>
        </w:rPr>
      </w:pPr>
    </w:p>
    <w:p w14:paraId="3DCFFA21" w14:textId="77777777" w:rsidR="00BC046B" w:rsidRPr="00E24FB4" w:rsidRDefault="00BC046B">
      <w:pPr>
        <w:rPr>
          <w:b/>
          <w:bCs/>
          <w:sz w:val="20"/>
          <w:szCs w:val="20"/>
        </w:rPr>
      </w:pPr>
      <w:r w:rsidRPr="00E24FB4">
        <w:rPr>
          <w:b/>
          <w:bCs/>
          <w:sz w:val="20"/>
          <w:szCs w:val="20"/>
        </w:rPr>
        <w:t>Sources referred:</w:t>
      </w:r>
    </w:p>
    <w:p w14:paraId="08CCDCEB" w14:textId="15C58911" w:rsidR="00BC046B" w:rsidRPr="00E24FB4" w:rsidRDefault="00BC046B" w:rsidP="00436A87">
      <w:pPr>
        <w:pStyle w:val="ListParagraph"/>
        <w:numPr>
          <w:ilvl w:val="0"/>
          <w:numId w:val="11"/>
        </w:numPr>
        <w:rPr>
          <w:sz w:val="20"/>
          <w:szCs w:val="20"/>
        </w:rPr>
      </w:pPr>
      <w:r w:rsidRPr="00E24FB4">
        <w:rPr>
          <w:sz w:val="20"/>
          <w:szCs w:val="20"/>
        </w:rPr>
        <w:t>Deep-Dive template shared by Donald</w:t>
      </w:r>
      <w:r w:rsidR="0093362D" w:rsidRPr="00E24FB4">
        <w:rPr>
          <w:sz w:val="20"/>
          <w:szCs w:val="20"/>
        </w:rPr>
        <w:t>/Ankit</w:t>
      </w:r>
    </w:p>
    <w:p w14:paraId="203C50CC" w14:textId="08AA52E7" w:rsidR="0093362D" w:rsidRPr="00E24FB4" w:rsidRDefault="0093362D" w:rsidP="00436A87">
      <w:pPr>
        <w:pStyle w:val="ListParagraph"/>
        <w:numPr>
          <w:ilvl w:val="0"/>
          <w:numId w:val="11"/>
        </w:numPr>
        <w:rPr>
          <w:sz w:val="20"/>
          <w:szCs w:val="20"/>
        </w:rPr>
      </w:pPr>
      <w:r w:rsidRPr="00E24FB4">
        <w:rPr>
          <w:sz w:val="20"/>
          <w:szCs w:val="20"/>
        </w:rPr>
        <w:t>Annual Reports &amp; AGM notes on VP thread</w:t>
      </w:r>
    </w:p>
    <w:p w14:paraId="4C37FE38" w14:textId="6697FEE5" w:rsidR="00BC046B" w:rsidRPr="00E24FB4" w:rsidRDefault="0093362D" w:rsidP="00436A87">
      <w:pPr>
        <w:pStyle w:val="ListParagraph"/>
        <w:numPr>
          <w:ilvl w:val="0"/>
          <w:numId w:val="11"/>
        </w:numPr>
        <w:rPr>
          <w:sz w:val="20"/>
          <w:szCs w:val="20"/>
        </w:rPr>
      </w:pPr>
      <w:r w:rsidRPr="00E24FB4">
        <w:rPr>
          <w:sz w:val="20"/>
          <w:szCs w:val="20"/>
        </w:rPr>
        <w:t xml:space="preserve">Company website </w:t>
      </w:r>
    </w:p>
    <w:p w14:paraId="701A93DF" w14:textId="30287A55" w:rsidR="0093362D" w:rsidRPr="00E24FB4" w:rsidRDefault="0093362D" w:rsidP="00436A87">
      <w:pPr>
        <w:pStyle w:val="ListParagraph"/>
        <w:numPr>
          <w:ilvl w:val="0"/>
          <w:numId w:val="11"/>
        </w:numPr>
        <w:rPr>
          <w:sz w:val="20"/>
          <w:szCs w:val="20"/>
        </w:rPr>
      </w:pPr>
      <w:r w:rsidRPr="00E24FB4">
        <w:rPr>
          <w:sz w:val="20"/>
          <w:szCs w:val="20"/>
        </w:rPr>
        <w:t>Listed competitors</w:t>
      </w:r>
      <w:r w:rsidR="00CE2BAE" w:rsidRPr="00E24FB4">
        <w:rPr>
          <w:sz w:val="20"/>
          <w:szCs w:val="20"/>
        </w:rPr>
        <w:t>’</w:t>
      </w:r>
      <w:r w:rsidRPr="00E24FB4">
        <w:rPr>
          <w:sz w:val="20"/>
          <w:szCs w:val="20"/>
        </w:rPr>
        <w:t xml:space="preserve"> info</w:t>
      </w:r>
    </w:p>
    <w:p w14:paraId="029EC684" w14:textId="19F3E992" w:rsidR="006D79A2" w:rsidRPr="00E24FB4" w:rsidRDefault="006D79A2">
      <w:pPr>
        <w:rPr>
          <w:sz w:val="20"/>
          <w:szCs w:val="20"/>
        </w:rPr>
      </w:pPr>
    </w:p>
    <w:p w14:paraId="3D543E16" w14:textId="63DEA6BC" w:rsidR="003E6608" w:rsidRPr="00E24FB4" w:rsidRDefault="003E6608">
      <w:pPr>
        <w:rPr>
          <w:sz w:val="20"/>
          <w:szCs w:val="20"/>
        </w:rPr>
      </w:pPr>
    </w:p>
    <w:p w14:paraId="2006F67D" w14:textId="462AE144" w:rsidR="00CE2BAE" w:rsidRPr="00E24FB4" w:rsidRDefault="00CE2BAE">
      <w:pPr>
        <w:rPr>
          <w:sz w:val="20"/>
          <w:szCs w:val="20"/>
        </w:rPr>
      </w:pPr>
    </w:p>
    <w:p w14:paraId="5D1C4F69" w14:textId="7BFB8B84" w:rsidR="00CE2BAE" w:rsidRPr="00E24FB4" w:rsidRDefault="00CE2BAE">
      <w:pPr>
        <w:rPr>
          <w:sz w:val="20"/>
          <w:szCs w:val="20"/>
        </w:rPr>
      </w:pPr>
      <w:r w:rsidRPr="00E24FB4">
        <w:rPr>
          <w:sz w:val="20"/>
          <w:szCs w:val="20"/>
        </w:rPr>
        <w:br w:type="page"/>
      </w:r>
    </w:p>
    <w:p w14:paraId="78E496F0" w14:textId="715599D6" w:rsidR="00A52716" w:rsidRPr="00E24FB4" w:rsidRDefault="00CE2BAE" w:rsidP="00A52716">
      <w:pPr>
        <w:pStyle w:val="ListParagraph"/>
        <w:ind w:left="1440"/>
        <w:rPr>
          <w:b/>
          <w:bCs/>
          <w:sz w:val="20"/>
          <w:szCs w:val="20"/>
        </w:rPr>
      </w:pPr>
      <w:r w:rsidRPr="00E24FB4">
        <w:rPr>
          <w:b/>
          <w:bCs/>
          <w:sz w:val="20"/>
          <w:szCs w:val="20"/>
        </w:rPr>
        <w:lastRenderedPageBreak/>
        <w:t>Annexure</w:t>
      </w:r>
      <w:r w:rsidR="00A52716" w:rsidRPr="00E24FB4">
        <w:rPr>
          <w:b/>
          <w:bCs/>
          <w:sz w:val="20"/>
          <w:szCs w:val="20"/>
        </w:rPr>
        <w:t>: Receivables &amp; Payables days Comparison</w:t>
      </w:r>
    </w:p>
    <w:p w14:paraId="747F71A4" w14:textId="77777777" w:rsidR="00A52716" w:rsidRPr="00E24FB4" w:rsidRDefault="00A52716" w:rsidP="00A52716">
      <w:pPr>
        <w:pStyle w:val="ListParagraph"/>
        <w:ind w:left="1440"/>
        <w:rPr>
          <w:sz w:val="20"/>
          <w:szCs w:val="20"/>
        </w:rPr>
      </w:pPr>
    </w:p>
    <w:p w14:paraId="5837958A" w14:textId="77777777" w:rsidR="00A52716" w:rsidRPr="00E24FB4" w:rsidRDefault="00A52716" w:rsidP="00A52716">
      <w:pPr>
        <w:pStyle w:val="ListParagraph"/>
        <w:ind w:left="1440"/>
        <w:rPr>
          <w:sz w:val="20"/>
          <w:szCs w:val="20"/>
        </w:rPr>
      </w:pPr>
      <w:r w:rsidRPr="00E24FB4">
        <w:rPr>
          <w:noProof/>
        </w:rPr>
        <w:drawing>
          <wp:inline distT="0" distB="0" distL="0" distR="0" wp14:anchorId="69470AFB" wp14:editId="657D28E8">
            <wp:extent cx="4653280" cy="386715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9260" cy="3872120"/>
                    </a:xfrm>
                    <a:prstGeom prst="rect">
                      <a:avLst/>
                    </a:prstGeom>
                    <a:noFill/>
                    <a:ln>
                      <a:noFill/>
                    </a:ln>
                  </pic:spPr>
                </pic:pic>
              </a:graphicData>
            </a:graphic>
          </wp:inline>
        </w:drawing>
      </w:r>
    </w:p>
    <w:p w14:paraId="6770BDCD" w14:textId="77777777" w:rsidR="00A52716" w:rsidRPr="00E24FB4" w:rsidRDefault="00A52716" w:rsidP="00A52716">
      <w:pPr>
        <w:pStyle w:val="ListParagraph"/>
        <w:ind w:left="1440"/>
        <w:rPr>
          <w:sz w:val="20"/>
          <w:szCs w:val="20"/>
        </w:rPr>
      </w:pPr>
    </w:p>
    <w:p w14:paraId="6B2E462D" w14:textId="77777777" w:rsidR="00A52716" w:rsidRPr="00E24FB4" w:rsidRDefault="00A52716" w:rsidP="00A52716">
      <w:pPr>
        <w:pStyle w:val="ListParagraph"/>
        <w:ind w:left="1440"/>
        <w:rPr>
          <w:sz w:val="20"/>
          <w:szCs w:val="20"/>
        </w:rPr>
      </w:pPr>
      <w:r w:rsidRPr="00E24FB4">
        <w:rPr>
          <w:noProof/>
        </w:rPr>
        <w:drawing>
          <wp:inline distT="0" distB="0" distL="0" distR="0" wp14:anchorId="0D973170" wp14:editId="7C505167">
            <wp:extent cx="4634865" cy="4298950"/>
            <wp:effectExtent l="0" t="0" r="0" b="635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886" cy="4304535"/>
                    </a:xfrm>
                    <a:prstGeom prst="rect">
                      <a:avLst/>
                    </a:prstGeom>
                    <a:noFill/>
                    <a:ln>
                      <a:noFill/>
                    </a:ln>
                  </pic:spPr>
                </pic:pic>
              </a:graphicData>
            </a:graphic>
          </wp:inline>
        </w:drawing>
      </w:r>
    </w:p>
    <w:sectPr w:rsidR="00A52716" w:rsidRPr="00E24FB4" w:rsidSect="009A2F05">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1B247" w14:textId="77777777" w:rsidR="00B871A0" w:rsidRDefault="00B871A0" w:rsidP="004D47A6">
      <w:r>
        <w:separator/>
      </w:r>
    </w:p>
  </w:endnote>
  <w:endnote w:type="continuationSeparator" w:id="0">
    <w:p w14:paraId="2D1FC734" w14:textId="77777777" w:rsidR="00B871A0" w:rsidRDefault="00B871A0" w:rsidP="004D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925679"/>
      <w:docPartObj>
        <w:docPartGallery w:val="Page Numbers (Bottom of Page)"/>
        <w:docPartUnique/>
      </w:docPartObj>
    </w:sdtPr>
    <w:sdtEndPr>
      <w:rPr>
        <w:noProof/>
      </w:rPr>
    </w:sdtEndPr>
    <w:sdtContent>
      <w:p w14:paraId="1CD313C1" w14:textId="4C01907E" w:rsidR="00E03E9D" w:rsidRDefault="00E03E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80606" w14:textId="77777777" w:rsidR="00E03E9D" w:rsidRDefault="00E03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11E3" w14:textId="77777777" w:rsidR="00B871A0" w:rsidRDefault="00B871A0" w:rsidP="004D47A6">
      <w:r>
        <w:separator/>
      </w:r>
    </w:p>
  </w:footnote>
  <w:footnote w:type="continuationSeparator" w:id="0">
    <w:p w14:paraId="6E1C5DD4" w14:textId="77777777" w:rsidR="00B871A0" w:rsidRDefault="00B871A0" w:rsidP="004D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13B"/>
    <w:multiLevelType w:val="hybridMultilevel"/>
    <w:tmpl w:val="AE5EF2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D4313"/>
    <w:multiLevelType w:val="hybridMultilevel"/>
    <w:tmpl w:val="00984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9121BF"/>
    <w:multiLevelType w:val="hybridMultilevel"/>
    <w:tmpl w:val="ABA215A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3" w15:restartNumberingAfterBreak="0">
    <w:nsid w:val="0E480D07"/>
    <w:multiLevelType w:val="hybridMultilevel"/>
    <w:tmpl w:val="0824D1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0AA07B2"/>
    <w:multiLevelType w:val="hybridMultilevel"/>
    <w:tmpl w:val="CC8A5F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11005E5B"/>
    <w:multiLevelType w:val="multilevel"/>
    <w:tmpl w:val="1638E8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4FE17FA"/>
    <w:multiLevelType w:val="multilevel"/>
    <w:tmpl w:val="2E94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C7022"/>
    <w:multiLevelType w:val="hybridMultilevel"/>
    <w:tmpl w:val="1ECA81F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F134F75"/>
    <w:multiLevelType w:val="hybridMultilevel"/>
    <w:tmpl w:val="070A61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21F2F"/>
    <w:multiLevelType w:val="hybridMultilevel"/>
    <w:tmpl w:val="C778C124"/>
    <w:lvl w:ilvl="0" w:tplc="42FE8EF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C817CBB"/>
    <w:multiLevelType w:val="hybridMultilevel"/>
    <w:tmpl w:val="E196D10E"/>
    <w:lvl w:ilvl="0" w:tplc="B8E4B3AA">
      <w:start w:val="1"/>
      <w:numFmt w:val="lowerLetter"/>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7A17A3"/>
    <w:multiLevelType w:val="hybridMultilevel"/>
    <w:tmpl w:val="FC1447D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30D800DD"/>
    <w:multiLevelType w:val="hybridMultilevel"/>
    <w:tmpl w:val="5B52E324"/>
    <w:lvl w:ilvl="0" w:tplc="17F8CD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4333BE"/>
    <w:multiLevelType w:val="hybridMultilevel"/>
    <w:tmpl w:val="E196D10E"/>
    <w:lvl w:ilvl="0" w:tplc="B8E4B3AA">
      <w:start w:val="1"/>
      <w:numFmt w:val="lowerLetter"/>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51F166F"/>
    <w:multiLevelType w:val="hybridMultilevel"/>
    <w:tmpl w:val="4D4A7A22"/>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070D51"/>
    <w:multiLevelType w:val="hybridMultilevel"/>
    <w:tmpl w:val="A400FFF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2F4C596">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211D0"/>
    <w:multiLevelType w:val="multilevel"/>
    <w:tmpl w:val="218C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740F2"/>
    <w:multiLevelType w:val="hybridMultilevel"/>
    <w:tmpl w:val="77DEE6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44787D18"/>
    <w:multiLevelType w:val="hybridMultilevel"/>
    <w:tmpl w:val="E196D10E"/>
    <w:lvl w:ilvl="0" w:tplc="B8E4B3AA">
      <w:start w:val="1"/>
      <w:numFmt w:val="lowerLetter"/>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70A1C56"/>
    <w:multiLevelType w:val="hybridMultilevel"/>
    <w:tmpl w:val="B826F99C"/>
    <w:lvl w:ilvl="0" w:tplc="08090011">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317BDD"/>
    <w:multiLevelType w:val="hybridMultilevel"/>
    <w:tmpl w:val="FF1A541E"/>
    <w:lvl w:ilvl="0" w:tplc="4322FE1C">
      <w:start w:val="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E210664"/>
    <w:multiLevelType w:val="hybridMultilevel"/>
    <w:tmpl w:val="A60C9C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4FFC459F"/>
    <w:multiLevelType w:val="hybridMultilevel"/>
    <w:tmpl w:val="4880E160"/>
    <w:lvl w:ilvl="0" w:tplc="56F097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0F0525E"/>
    <w:multiLevelType w:val="hybridMultilevel"/>
    <w:tmpl w:val="14AEA03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55FD1BF8"/>
    <w:multiLevelType w:val="hybridMultilevel"/>
    <w:tmpl w:val="7CC4CA6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1E25B6"/>
    <w:multiLevelType w:val="hybridMultilevel"/>
    <w:tmpl w:val="573AAF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CA0C37"/>
    <w:multiLevelType w:val="hybridMultilevel"/>
    <w:tmpl w:val="0C08138C"/>
    <w:lvl w:ilvl="0" w:tplc="40090001">
      <w:start w:val="1"/>
      <w:numFmt w:val="bullet"/>
      <w:lvlText w:val=""/>
      <w:lvlJc w:val="left"/>
      <w:pPr>
        <w:ind w:left="1080" w:hanging="360"/>
      </w:pPr>
      <w:rPr>
        <w:rFonts w:ascii="Symbol" w:hAnsi="Symbol" w:hint="default"/>
      </w:rPr>
    </w:lvl>
    <w:lvl w:ilvl="1" w:tplc="4F52678E">
      <w:numFmt w:val="bullet"/>
      <w:lvlText w:val="•"/>
      <w:lvlJc w:val="left"/>
      <w:pPr>
        <w:ind w:left="1800" w:hanging="360"/>
      </w:pPr>
      <w:rPr>
        <w:rFonts w:ascii="Helvetica" w:eastAsia="Times New Roman" w:hAnsi="Helvetica" w:cs="Helvetica"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15:restartNumberingAfterBreak="0">
    <w:nsid w:val="63493AAE"/>
    <w:multiLevelType w:val="hybridMultilevel"/>
    <w:tmpl w:val="CF4C41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4F01B7E"/>
    <w:multiLevelType w:val="hybridMultilevel"/>
    <w:tmpl w:val="A9D00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C555669"/>
    <w:multiLevelType w:val="hybridMultilevel"/>
    <w:tmpl w:val="A95218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6F5C633A"/>
    <w:multiLevelType w:val="hybridMultilevel"/>
    <w:tmpl w:val="D2F827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6FFA1C8D"/>
    <w:multiLevelType w:val="hybridMultilevel"/>
    <w:tmpl w:val="360CF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B9495D"/>
    <w:multiLevelType w:val="hybridMultilevel"/>
    <w:tmpl w:val="554A805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73C34629"/>
    <w:multiLevelType w:val="hybridMultilevel"/>
    <w:tmpl w:val="B4CEBD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4FF3AD3"/>
    <w:multiLevelType w:val="hybridMultilevel"/>
    <w:tmpl w:val="4CEEC2BE"/>
    <w:lvl w:ilvl="0" w:tplc="AE022C7C">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5"/>
  </w:num>
  <w:num w:numId="3">
    <w:abstractNumId w:val="31"/>
  </w:num>
  <w:num w:numId="4">
    <w:abstractNumId w:val="34"/>
  </w:num>
  <w:num w:numId="5">
    <w:abstractNumId w:val="24"/>
  </w:num>
  <w:num w:numId="6">
    <w:abstractNumId w:val="15"/>
  </w:num>
  <w:num w:numId="7">
    <w:abstractNumId w:val="19"/>
  </w:num>
  <w:num w:numId="8">
    <w:abstractNumId w:val="33"/>
  </w:num>
  <w:num w:numId="9">
    <w:abstractNumId w:val="8"/>
  </w:num>
  <w:num w:numId="10">
    <w:abstractNumId w:val="12"/>
  </w:num>
  <w:num w:numId="11">
    <w:abstractNumId w:val="0"/>
  </w:num>
  <w:num w:numId="12">
    <w:abstractNumId w:val="11"/>
  </w:num>
  <w:num w:numId="13">
    <w:abstractNumId w:val="5"/>
  </w:num>
  <w:num w:numId="14">
    <w:abstractNumId w:val="2"/>
  </w:num>
  <w:num w:numId="15">
    <w:abstractNumId w:val="23"/>
  </w:num>
  <w:num w:numId="16">
    <w:abstractNumId w:val="27"/>
  </w:num>
  <w:num w:numId="17">
    <w:abstractNumId w:val="26"/>
  </w:num>
  <w:num w:numId="18">
    <w:abstractNumId w:val="18"/>
  </w:num>
  <w:num w:numId="19">
    <w:abstractNumId w:val="29"/>
  </w:num>
  <w:num w:numId="20">
    <w:abstractNumId w:val="17"/>
  </w:num>
  <w:num w:numId="21">
    <w:abstractNumId w:val="13"/>
  </w:num>
  <w:num w:numId="22">
    <w:abstractNumId w:val="10"/>
  </w:num>
  <w:num w:numId="23">
    <w:abstractNumId w:val="28"/>
  </w:num>
  <w:num w:numId="24">
    <w:abstractNumId w:val="3"/>
  </w:num>
  <w:num w:numId="25">
    <w:abstractNumId w:val="1"/>
  </w:num>
  <w:num w:numId="26">
    <w:abstractNumId w:val="7"/>
  </w:num>
  <w:num w:numId="27">
    <w:abstractNumId w:val="21"/>
  </w:num>
  <w:num w:numId="28">
    <w:abstractNumId w:val="6"/>
  </w:num>
  <w:num w:numId="29">
    <w:abstractNumId w:val="16"/>
  </w:num>
  <w:num w:numId="30">
    <w:abstractNumId w:val="22"/>
  </w:num>
  <w:num w:numId="31">
    <w:abstractNumId w:val="9"/>
  </w:num>
  <w:num w:numId="32">
    <w:abstractNumId w:val="30"/>
  </w:num>
  <w:num w:numId="33">
    <w:abstractNumId w:val="32"/>
  </w:num>
  <w:num w:numId="34">
    <w:abstractNumId w:val="4"/>
  </w:num>
  <w:num w:numId="3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38"/>
    <w:rsid w:val="000000DC"/>
    <w:rsid w:val="0000364A"/>
    <w:rsid w:val="000071F8"/>
    <w:rsid w:val="00012567"/>
    <w:rsid w:val="00013F6B"/>
    <w:rsid w:val="00014FF5"/>
    <w:rsid w:val="00020871"/>
    <w:rsid w:val="00032DB6"/>
    <w:rsid w:val="000337DC"/>
    <w:rsid w:val="00034A0B"/>
    <w:rsid w:val="00037BF7"/>
    <w:rsid w:val="00047D27"/>
    <w:rsid w:val="0005167E"/>
    <w:rsid w:val="00070FD8"/>
    <w:rsid w:val="000758FD"/>
    <w:rsid w:val="00091838"/>
    <w:rsid w:val="00093CE4"/>
    <w:rsid w:val="000A029F"/>
    <w:rsid w:val="000A2C98"/>
    <w:rsid w:val="000A2E9F"/>
    <w:rsid w:val="000B27D1"/>
    <w:rsid w:val="000B6AC2"/>
    <w:rsid w:val="000C11AB"/>
    <w:rsid w:val="000C1619"/>
    <w:rsid w:val="000C2C52"/>
    <w:rsid w:val="000C52B5"/>
    <w:rsid w:val="000D0367"/>
    <w:rsid w:val="000D38B0"/>
    <w:rsid w:val="000E0700"/>
    <w:rsid w:val="000E193F"/>
    <w:rsid w:val="000E2A31"/>
    <w:rsid w:val="00100BC4"/>
    <w:rsid w:val="00110744"/>
    <w:rsid w:val="00113171"/>
    <w:rsid w:val="00124158"/>
    <w:rsid w:val="00136A61"/>
    <w:rsid w:val="001418B5"/>
    <w:rsid w:val="00144D22"/>
    <w:rsid w:val="0014771B"/>
    <w:rsid w:val="001505CC"/>
    <w:rsid w:val="00150B6A"/>
    <w:rsid w:val="0015223D"/>
    <w:rsid w:val="001559DE"/>
    <w:rsid w:val="00170817"/>
    <w:rsid w:val="00176B73"/>
    <w:rsid w:val="00177EB3"/>
    <w:rsid w:val="001844F5"/>
    <w:rsid w:val="00185AF2"/>
    <w:rsid w:val="0018725E"/>
    <w:rsid w:val="0019778F"/>
    <w:rsid w:val="001C23C0"/>
    <w:rsid w:val="001C2FD3"/>
    <w:rsid w:val="001D2976"/>
    <w:rsid w:val="001D4611"/>
    <w:rsid w:val="001D73B3"/>
    <w:rsid w:val="001E5371"/>
    <w:rsid w:val="001F2A8E"/>
    <w:rsid w:val="002021B7"/>
    <w:rsid w:val="002025BC"/>
    <w:rsid w:val="00202D6E"/>
    <w:rsid w:val="00203DF4"/>
    <w:rsid w:val="002133E8"/>
    <w:rsid w:val="0022108C"/>
    <w:rsid w:val="002248C0"/>
    <w:rsid w:val="002542B6"/>
    <w:rsid w:val="00292EC7"/>
    <w:rsid w:val="002A36EE"/>
    <w:rsid w:val="002A517C"/>
    <w:rsid w:val="002A65CF"/>
    <w:rsid w:val="002B19A9"/>
    <w:rsid w:val="002B463F"/>
    <w:rsid w:val="002B4FD2"/>
    <w:rsid w:val="002C2741"/>
    <w:rsid w:val="002D47A5"/>
    <w:rsid w:val="002D4D82"/>
    <w:rsid w:val="002D502B"/>
    <w:rsid w:val="002E2EDB"/>
    <w:rsid w:val="002F11A9"/>
    <w:rsid w:val="002F6CCC"/>
    <w:rsid w:val="003036EC"/>
    <w:rsid w:val="00305EDC"/>
    <w:rsid w:val="003103BF"/>
    <w:rsid w:val="00333A8A"/>
    <w:rsid w:val="003456C8"/>
    <w:rsid w:val="003549BE"/>
    <w:rsid w:val="00357BD2"/>
    <w:rsid w:val="00362905"/>
    <w:rsid w:val="003671CF"/>
    <w:rsid w:val="00375678"/>
    <w:rsid w:val="003A14D6"/>
    <w:rsid w:val="003A326F"/>
    <w:rsid w:val="003B266C"/>
    <w:rsid w:val="003C282C"/>
    <w:rsid w:val="003C2E71"/>
    <w:rsid w:val="003C41C7"/>
    <w:rsid w:val="003C493A"/>
    <w:rsid w:val="003D1A08"/>
    <w:rsid w:val="003D503B"/>
    <w:rsid w:val="003D5BDA"/>
    <w:rsid w:val="003E5B10"/>
    <w:rsid w:val="003E6608"/>
    <w:rsid w:val="003E74DC"/>
    <w:rsid w:val="003E7924"/>
    <w:rsid w:val="003F2968"/>
    <w:rsid w:val="003F4869"/>
    <w:rsid w:val="00400FE4"/>
    <w:rsid w:val="0040231F"/>
    <w:rsid w:val="00404F03"/>
    <w:rsid w:val="00407FB3"/>
    <w:rsid w:val="00415C95"/>
    <w:rsid w:val="00416BEF"/>
    <w:rsid w:val="00421B9F"/>
    <w:rsid w:val="0042485B"/>
    <w:rsid w:val="00431934"/>
    <w:rsid w:val="00435B4C"/>
    <w:rsid w:val="00436A87"/>
    <w:rsid w:val="00436ACE"/>
    <w:rsid w:val="00440F3D"/>
    <w:rsid w:val="004444A4"/>
    <w:rsid w:val="0044463B"/>
    <w:rsid w:val="00445262"/>
    <w:rsid w:val="00446F78"/>
    <w:rsid w:val="00447430"/>
    <w:rsid w:val="00461E26"/>
    <w:rsid w:val="004644FA"/>
    <w:rsid w:val="00474603"/>
    <w:rsid w:val="00476C5C"/>
    <w:rsid w:val="004A02BE"/>
    <w:rsid w:val="004A255A"/>
    <w:rsid w:val="004A3924"/>
    <w:rsid w:val="004A522D"/>
    <w:rsid w:val="004C068D"/>
    <w:rsid w:val="004C17DB"/>
    <w:rsid w:val="004C667B"/>
    <w:rsid w:val="004C6A60"/>
    <w:rsid w:val="004D47A6"/>
    <w:rsid w:val="004E33DC"/>
    <w:rsid w:val="004E358E"/>
    <w:rsid w:val="004E78BF"/>
    <w:rsid w:val="004F4AF0"/>
    <w:rsid w:val="004F5B1D"/>
    <w:rsid w:val="005063C1"/>
    <w:rsid w:val="00512A48"/>
    <w:rsid w:val="005179B4"/>
    <w:rsid w:val="00517DA8"/>
    <w:rsid w:val="00525C72"/>
    <w:rsid w:val="0052707B"/>
    <w:rsid w:val="00527C2F"/>
    <w:rsid w:val="005375C0"/>
    <w:rsid w:val="00550D4E"/>
    <w:rsid w:val="00557EB5"/>
    <w:rsid w:val="005616FA"/>
    <w:rsid w:val="0056655E"/>
    <w:rsid w:val="005736B5"/>
    <w:rsid w:val="005745C0"/>
    <w:rsid w:val="00580C44"/>
    <w:rsid w:val="0058219D"/>
    <w:rsid w:val="00582560"/>
    <w:rsid w:val="0058505E"/>
    <w:rsid w:val="0058595C"/>
    <w:rsid w:val="00585E3A"/>
    <w:rsid w:val="00591F1E"/>
    <w:rsid w:val="005979D3"/>
    <w:rsid w:val="005A20C0"/>
    <w:rsid w:val="005A3389"/>
    <w:rsid w:val="005B3445"/>
    <w:rsid w:val="005B35B8"/>
    <w:rsid w:val="005B7842"/>
    <w:rsid w:val="005C280E"/>
    <w:rsid w:val="005C3896"/>
    <w:rsid w:val="005C620A"/>
    <w:rsid w:val="005D5CDF"/>
    <w:rsid w:val="005E0073"/>
    <w:rsid w:val="005E1006"/>
    <w:rsid w:val="005E3D8A"/>
    <w:rsid w:val="005E4F10"/>
    <w:rsid w:val="005F3B64"/>
    <w:rsid w:val="005F47AC"/>
    <w:rsid w:val="00600651"/>
    <w:rsid w:val="00610E73"/>
    <w:rsid w:val="006143E8"/>
    <w:rsid w:val="00615AFA"/>
    <w:rsid w:val="00615C45"/>
    <w:rsid w:val="00617AAB"/>
    <w:rsid w:val="00623A43"/>
    <w:rsid w:val="00625200"/>
    <w:rsid w:val="00625B53"/>
    <w:rsid w:val="00627BDA"/>
    <w:rsid w:val="006306BA"/>
    <w:rsid w:val="00637D7B"/>
    <w:rsid w:val="0064081A"/>
    <w:rsid w:val="00640B9B"/>
    <w:rsid w:val="00641FB2"/>
    <w:rsid w:val="006430E3"/>
    <w:rsid w:val="006433B7"/>
    <w:rsid w:val="006451ED"/>
    <w:rsid w:val="00647FD0"/>
    <w:rsid w:val="00652D5F"/>
    <w:rsid w:val="00671FFD"/>
    <w:rsid w:val="006762FC"/>
    <w:rsid w:val="006846F0"/>
    <w:rsid w:val="00690EA7"/>
    <w:rsid w:val="006A2480"/>
    <w:rsid w:val="006A69AD"/>
    <w:rsid w:val="006A7A29"/>
    <w:rsid w:val="006B129C"/>
    <w:rsid w:val="006B3D2C"/>
    <w:rsid w:val="006C02FE"/>
    <w:rsid w:val="006C36F9"/>
    <w:rsid w:val="006C49D4"/>
    <w:rsid w:val="006D0E44"/>
    <w:rsid w:val="006D7215"/>
    <w:rsid w:val="006D79A2"/>
    <w:rsid w:val="006E479A"/>
    <w:rsid w:val="006F0A21"/>
    <w:rsid w:val="006F51BE"/>
    <w:rsid w:val="006F5F7F"/>
    <w:rsid w:val="00700609"/>
    <w:rsid w:val="00713656"/>
    <w:rsid w:val="00713FE6"/>
    <w:rsid w:val="00730C18"/>
    <w:rsid w:val="0073348F"/>
    <w:rsid w:val="00740382"/>
    <w:rsid w:val="00747E60"/>
    <w:rsid w:val="0075181C"/>
    <w:rsid w:val="00755058"/>
    <w:rsid w:val="0075765F"/>
    <w:rsid w:val="00764351"/>
    <w:rsid w:val="00767792"/>
    <w:rsid w:val="00767BB8"/>
    <w:rsid w:val="00775DB2"/>
    <w:rsid w:val="00777FFC"/>
    <w:rsid w:val="00780143"/>
    <w:rsid w:val="00787644"/>
    <w:rsid w:val="00787B8C"/>
    <w:rsid w:val="007970A7"/>
    <w:rsid w:val="007A0A34"/>
    <w:rsid w:val="007B0F3B"/>
    <w:rsid w:val="007B3B9A"/>
    <w:rsid w:val="007C1192"/>
    <w:rsid w:val="007C4A24"/>
    <w:rsid w:val="007C5D13"/>
    <w:rsid w:val="007C7BE0"/>
    <w:rsid w:val="007D617C"/>
    <w:rsid w:val="007E62EC"/>
    <w:rsid w:val="007F3226"/>
    <w:rsid w:val="007F4123"/>
    <w:rsid w:val="007F7F6A"/>
    <w:rsid w:val="00804201"/>
    <w:rsid w:val="008053DA"/>
    <w:rsid w:val="00805BD2"/>
    <w:rsid w:val="00805FA8"/>
    <w:rsid w:val="00807691"/>
    <w:rsid w:val="0083699A"/>
    <w:rsid w:val="00841832"/>
    <w:rsid w:val="00844DEE"/>
    <w:rsid w:val="0085336D"/>
    <w:rsid w:val="00881F57"/>
    <w:rsid w:val="0088701F"/>
    <w:rsid w:val="008A6165"/>
    <w:rsid w:val="008A726C"/>
    <w:rsid w:val="008B4CDC"/>
    <w:rsid w:val="008C5371"/>
    <w:rsid w:val="008D19BA"/>
    <w:rsid w:val="008D3BC5"/>
    <w:rsid w:val="008E4555"/>
    <w:rsid w:val="008E52DD"/>
    <w:rsid w:val="008F60EF"/>
    <w:rsid w:val="008F7571"/>
    <w:rsid w:val="00903736"/>
    <w:rsid w:val="0090386E"/>
    <w:rsid w:val="00904A4D"/>
    <w:rsid w:val="00904EA6"/>
    <w:rsid w:val="00905DE7"/>
    <w:rsid w:val="00907BC0"/>
    <w:rsid w:val="0091593C"/>
    <w:rsid w:val="00917207"/>
    <w:rsid w:val="0092699C"/>
    <w:rsid w:val="00927C5E"/>
    <w:rsid w:val="0093362D"/>
    <w:rsid w:val="00933695"/>
    <w:rsid w:val="0093481B"/>
    <w:rsid w:val="00935511"/>
    <w:rsid w:val="009424AA"/>
    <w:rsid w:val="00942645"/>
    <w:rsid w:val="00943F3B"/>
    <w:rsid w:val="009548FC"/>
    <w:rsid w:val="00955D73"/>
    <w:rsid w:val="00956E36"/>
    <w:rsid w:val="009705EA"/>
    <w:rsid w:val="00971516"/>
    <w:rsid w:val="009779E0"/>
    <w:rsid w:val="00984990"/>
    <w:rsid w:val="0098780E"/>
    <w:rsid w:val="0099087D"/>
    <w:rsid w:val="00997BAE"/>
    <w:rsid w:val="009A09C2"/>
    <w:rsid w:val="009A2F05"/>
    <w:rsid w:val="009A3199"/>
    <w:rsid w:val="009A49A7"/>
    <w:rsid w:val="009A4AA8"/>
    <w:rsid w:val="009B5D24"/>
    <w:rsid w:val="009B60A4"/>
    <w:rsid w:val="009C25D2"/>
    <w:rsid w:val="009C649F"/>
    <w:rsid w:val="009C7A30"/>
    <w:rsid w:val="009D1D7F"/>
    <w:rsid w:val="009F1593"/>
    <w:rsid w:val="009F5AD9"/>
    <w:rsid w:val="009F6D6C"/>
    <w:rsid w:val="00A05FBC"/>
    <w:rsid w:val="00A13656"/>
    <w:rsid w:val="00A2066D"/>
    <w:rsid w:val="00A21EE3"/>
    <w:rsid w:val="00A22F57"/>
    <w:rsid w:val="00A27A3C"/>
    <w:rsid w:val="00A36AEC"/>
    <w:rsid w:val="00A37281"/>
    <w:rsid w:val="00A4333F"/>
    <w:rsid w:val="00A44D7D"/>
    <w:rsid w:val="00A52716"/>
    <w:rsid w:val="00A635A2"/>
    <w:rsid w:val="00A71515"/>
    <w:rsid w:val="00A72126"/>
    <w:rsid w:val="00A73A9E"/>
    <w:rsid w:val="00A746D3"/>
    <w:rsid w:val="00A821AB"/>
    <w:rsid w:val="00A854D6"/>
    <w:rsid w:val="00A8715D"/>
    <w:rsid w:val="00A94CEC"/>
    <w:rsid w:val="00AA3D13"/>
    <w:rsid w:val="00AA4207"/>
    <w:rsid w:val="00AA622E"/>
    <w:rsid w:val="00AA700E"/>
    <w:rsid w:val="00AB7F2A"/>
    <w:rsid w:val="00AC0461"/>
    <w:rsid w:val="00AC2979"/>
    <w:rsid w:val="00AD18C5"/>
    <w:rsid w:val="00AD39E1"/>
    <w:rsid w:val="00AD49B9"/>
    <w:rsid w:val="00AE26C4"/>
    <w:rsid w:val="00AE63D1"/>
    <w:rsid w:val="00AF750C"/>
    <w:rsid w:val="00AF784F"/>
    <w:rsid w:val="00B038FB"/>
    <w:rsid w:val="00B03DD2"/>
    <w:rsid w:val="00B04C5C"/>
    <w:rsid w:val="00B102E4"/>
    <w:rsid w:val="00B134CA"/>
    <w:rsid w:val="00B13D0E"/>
    <w:rsid w:val="00B16428"/>
    <w:rsid w:val="00B17BAA"/>
    <w:rsid w:val="00B24F80"/>
    <w:rsid w:val="00B33E76"/>
    <w:rsid w:val="00B410EE"/>
    <w:rsid w:val="00B41F4F"/>
    <w:rsid w:val="00B503AF"/>
    <w:rsid w:val="00B53C31"/>
    <w:rsid w:val="00B6417A"/>
    <w:rsid w:val="00B67EB2"/>
    <w:rsid w:val="00B71296"/>
    <w:rsid w:val="00B7230A"/>
    <w:rsid w:val="00B77039"/>
    <w:rsid w:val="00B83B08"/>
    <w:rsid w:val="00B871A0"/>
    <w:rsid w:val="00B950DE"/>
    <w:rsid w:val="00B96599"/>
    <w:rsid w:val="00BA08EB"/>
    <w:rsid w:val="00BA0B50"/>
    <w:rsid w:val="00BA264F"/>
    <w:rsid w:val="00BA7504"/>
    <w:rsid w:val="00BB3AEC"/>
    <w:rsid w:val="00BC046B"/>
    <w:rsid w:val="00BC18E5"/>
    <w:rsid w:val="00BC1C5E"/>
    <w:rsid w:val="00BD0BC3"/>
    <w:rsid w:val="00BE0A43"/>
    <w:rsid w:val="00BE4539"/>
    <w:rsid w:val="00BF28F7"/>
    <w:rsid w:val="00BF354B"/>
    <w:rsid w:val="00BF434C"/>
    <w:rsid w:val="00BF5611"/>
    <w:rsid w:val="00BF6179"/>
    <w:rsid w:val="00BF76EA"/>
    <w:rsid w:val="00C00D54"/>
    <w:rsid w:val="00C031B6"/>
    <w:rsid w:val="00C07681"/>
    <w:rsid w:val="00C104FD"/>
    <w:rsid w:val="00C11CAE"/>
    <w:rsid w:val="00C1746C"/>
    <w:rsid w:val="00C2125E"/>
    <w:rsid w:val="00C333C4"/>
    <w:rsid w:val="00C37E04"/>
    <w:rsid w:val="00C42A6A"/>
    <w:rsid w:val="00C46EEF"/>
    <w:rsid w:val="00C50D1C"/>
    <w:rsid w:val="00C634A7"/>
    <w:rsid w:val="00C64ED9"/>
    <w:rsid w:val="00C662F3"/>
    <w:rsid w:val="00C7015F"/>
    <w:rsid w:val="00C70311"/>
    <w:rsid w:val="00C7246C"/>
    <w:rsid w:val="00C72893"/>
    <w:rsid w:val="00C74F5B"/>
    <w:rsid w:val="00C83A81"/>
    <w:rsid w:val="00C90611"/>
    <w:rsid w:val="00C90F80"/>
    <w:rsid w:val="00C93F9A"/>
    <w:rsid w:val="00C94FAD"/>
    <w:rsid w:val="00C97C60"/>
    <w:rsid w:val="00CA0C22"/>
    <w:rsid w:val="00CA173B"/>
    <w:rsid w:val="00CA4156"/>
    <w:rsid w:val="00CB0758"/>
    <w:rsid w:val="00CB123D"/>
    <w:rsid w:val="00CC06C6"/>
    <w:rsid w:val="00CD4D43"/>
    <w:rsid w:val="00CD5289"/>
    <w:rsid w:val="00CD5647"/>
    <w:rsid w:val="00CE2BAE"/>
    <w:rsid w:val="00CE7EAB"/>
    <w:rsid w:val="00CF085D"/>
    <w:rsid w:val="00CF7C66"/>
    <w:rsid w:val="00D07C82"/>
    <w:rsid w:val="00D11137"/>
    <w:rsid w:val="00D156E8"/>
    <w:rsid w:val="00D20E9F"/>
    <w:rsid w:val="00D4174D"/>
    <w:rsid w:val="00D42EE7"/>
    <w:rsid w:val="00D51106"/>
    <w:rsid w:val="00D55454"/>
    <w:rsid w:val="00D8417F"/>
    <w:rsid w:val="00D95FD7"/>
    <w:rsid w:val="00DA09CF"/>
    <w:rsid w:val="00DA1957"/>
    <w:rsid w:val="00DB03A7"/>
    <w:rsid w:val="00DB17C3"/>
    <w:rsid w:val="00DB6537"/>
    <w:rsid w:val="00DB73CE"/>
    <w:rsid w:val="00DC1D1C"/>
    <w:rsid w:val="00DC409E"/>
    <w:rsid w:val="00DD098D"/>
    <w:rsid w:val="00DD56AE"/>
    <w:rsid w:val="00DE0D22"/>
    <w:rsid w:val="00DE0D66"/>
    <w:rsid w:val="00DE63FF"/>
    <w:rsid w:val="00DF3509"/>
    <w:rsid w:val="00DF5B59"/>
    <w:rsid w:val="00E03E9D"/>
    <w:rsid w:val="00E10211"/>
    <w:rsid w:val="00E16CD9"/>
    <w:rsid w:val="00E245CF"/>
    <w:rsid w:val="00E24FB4"/>
    <w:rsid w:val="00E25BCB"/>
    <w:rsid w:val="00E278CC"/>
    <w:rsid w:val="00E50EB8"/>
    <w:rsid w:val="00E511ED"/>
    <w:rsid w:val="00E55E5A"/>
    <w:rsid w:val="00E70754"/>
    <w:rsid w:val="00E9613B"/>
    <w:rsid w:val="00E97727"/>
    <w:rsid w:val="00EA4BEA"/>
    <w:rsid w:val="00EB5DC5"/>
    <w:rsid w:val="00EC2036"/>
    <w:rsid w:val="00EC6D92"/>
    <w:rsid w:val="00EE7E3D"/>
    <w:rsid w:val="00EF5B3D"/>
    <w:rsid w:val="00F05F26"/>
    <w:rsid w:val="00F12821"/>
    <w:rsid w:val="00F13DB6"/>
    <w:rsid w:val="00F14BD1"/>
    <w:rsid w:val="00F20A6D"/>
    <w:rsid w:val="00F30981"/>
    <w:rsid w:val="00F328DC"/>
    <w:rsid w:val="00F50237"/>
    <w:rsid w:val="00F50CCD"/>
    <w:rsid w:val="00F521C8"/>
    <w:rsid w:val="00F54627"/>
    <w:rsid w:val="00F5647C"/>
    <w:rsid w:val="00F830D0"/>
    <w:rsid w:val="00F83767"/>
    <w:rsid w:val="00F860DF"/>
    <w:rsid w:val="00F92860"/>
    <w:rsid w:val="00F97FD5"/>
    <w:rsid w:val="00FA3BD4"/>
    <w:rsid w:val="00FB359C"/>
    <w:rsid w:val="00FD107B"/>
    <w:rsid w:val="00FD1E42"/>
    <w:rsid w:val="00FE3724"/>
  </w:rsids>
  <m:mathPr>
    <m:mathFont m:val="Cambria Math"/>
    <m:brkBin m:val="before"/>
    <m:brkBinSub m:val="--"/>
    <m:smallFrac m:val="0"/>
    <m:dispDef/>
    <m:lMargin m:val="0"/>
    <m:rMargin m:val="0"/>
    <m:defJc m:val="centerGroup"/>
    <m:wrapIndent m:val="1440"/>
    <m:intLim m:val="subSup"/>
    <m:naryLim m:val="undOvr"/>
  </m:mathPr>
  <w:themeFontLang w:val="en-IN"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29BCE"/>
  <w15:docId w15:val="{AFD72C8A-CCAB-6D4B-81D6-4CB645AE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72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838"/>
    <w:pPr>
      <w:ind w:left="720"/>
      <w:contextualSpacing/>
    </w:pPr>
  </w:style>
  <w:style w:type="paragraph" w:styleId="NormalWeb">
    <w:name w:val="Normal (Web)"/>
    <w:basedOn w:val="Normal"/>
    <w:uiPriority w:val="99"/>
    <w:unhideWhenUsed/>
    <w:rsid w:val="00E245CF"/>
    <w:pPr>
      <w:spacing w:before="100" w:beforeAutospacing="1" w:after="100" w:afterAutospacing="1"/>
    </w:pPr>
  </w:style>
  <w:style w:type="paragraph" w:customStyle="1" w:styleId="paddbtmnone">
    <w:name w:val="paddbtmnone"/>
    <w:basedOn w:val="Normal"/>
    <w:rsid w:val="00E245CF"/>
    <w:pPr>
      <w:spacing w:before="100" w:beforeAutospacing="1" w:after="100" w:afterAutospacing="1"/>
    </w:pPr>
  </w:style>
  <w:style w:type="character" w:styleId="Hyperlink">
    <w:name w:val="Hyperlink"/>
    <w:basedOn w:val="DefaultParagraphFont"/>
    <w:uiPriority w:val="99"/>
    <w:unhideWhenUsed/>
    <w:rsid w:val="00517DA8"/>
    <w:rPr>
      <w:color w:val="0563C1" w:themeColor="hyperlink"/>
      <w:u w:val="single"/>
    </w:rPr>
  </w:style>
  <w:style w:type="character" w:customStyle="1" w:styleId="UnresolvedMention1">
    <w:name w:val="Unresolved Mention1"/>
    <w:basedOn w:val="DefaultParagraphFont"/>
    <w:uiPriority w:val="99"/>
    <w:semiHidden/>
    <w:unhideWhenUsed/>
    <w:rsid w:val="00517DA8"/>
    <w:rPr>
      <w:color w:val="605E5C"/>
      <w:shd w:val="clear" w:color="auto" w:fill="E1DFDD"/>
    </w:rPr>
  </w:style>
  <w:style w:type="character" w:styleId="CommentReference">
    <w:name w:val="annotation reference"/>
    <w:basedOn w:val="DefaultParagraphFont"/>
    <w:uiPriority w:val="99"/>
    <w:semiHidden/>
    <w:unhideWhenUsed/>
    <w:rsid w:val="00F328DC"/>
    <w:rPr>
      <w:sz w:val="16"/>
      <w:szCs w:val="16"/>
    </w:rPr>
  </w:style>
  <w:style w:type="paragraph" w:styleId="CommentText">
    <w:name w:val="annotation text"/>
    <w:basedOn w:val="Normal"/>
    <w:link w:val="CommentTextChar"/>
    <w:uiPriority w:val="99"/>
    <w:semiHidden/>
    <w:unhideWhenUsed/>
    <w:rsid w:val="00F328DC"/>
    <w:rPr>
      <w:sz w:val="20"/>
      <w:szCs w:val="20"/>
    </w:rPr>
  </w:style>
  <w:style w:type="character" w:customStyle="1" w:styleId="CommentTextChar">
    <w:name w:val="Comment Text Char"/>
    <w:basedOn w:val="DefaultParagraphFont"/>
    <w:link w:val="CommentText"/>
    <w:uiPriority w:val="99"/>
    <w:semiHidden/>
    <w:rsid w:val="00F328D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328DC"/>
    <w:rPr>
      <w:b/>
      <w:bCs/>
    </w:rPr>
  </w:style>
  <w:style w:type="character" w:customStyle="1" w:styleId="CommentSubjectChar">
    <w:name w:val="Comment Subject Char"/>
    <w:basedOn w:val="CommentTextChar"/>
    <w:link w:val="CommentSubject"/>
    <w:uiPriority w:val="99"/>
    <w:semiHidden/>
    <w:rsid w:val="00F328D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328DC"/>
    <w:rPr>
      <w:sz w:val="18"/>
      <w:szCs w:val="18"/>
    </w:rPr>
  </w:style>
  <w:style w:type="character" w:customStyle="1" w:styleId="BalloonTextChar">
    <w:name w:val="Balloon Text Char"/>
    <w:basedOn w:val="DefaultParagraphFont"/>
    <w:link w:val="BalloonText"/>
    <w:uiPriority w:val="99"/>
    <w:semiHidden/>
    <w:rsid w:val="00F328DC"/>
    <w:rPr>
      <w:rFonts w:ascii="Times New Roman" w:eastAsia="Times New Roman" w:hAnsi="Times New Roman" w:cs="Times New Roman"/>
      <w:sz w:val="18"/>
      <w:szCs w:val="18"/>
      <w:lang w:eastAsia="en-GB"/>
    </w:rPr>
  </w:style>
  <w:style w:type="character" w:customStyle="1" w:styleId="UnresolvedMention2">
    <w:name w:val="Unresolved Mention2"/>
    <w:basedOn w:val="DefaultParagraphFont"/>
    <w:uiPriority w:val="99"/>
    <w:semiHidden/>
    <w:unhideWhenUsed/>
    <w:rsid w:val="00610E73"/>
    <w:rPr>
      <w:color w:val="605E5C"/>
      <w:shd w:val="clear" w:color="auto" w:fill="E1DFDD"/>
    </w:rPr>
  </w:style>
  <w:style w:type="character" w:customStyle="1" w:styleId="UnresolvedMention3">
    <w:name w:val="Unresolved Mention3"/>
    <w:basedOn w:val="DefaultParagraphFont"/>
    <w:uiPriority w:val="99"/>
    <w:semiHidden/>
    <w:unhideWhenUsed/>
    <w:rsid w:val="004A02BE"/>
    <w:rPr>
      <w:color w:val="605E5C"/>
      <w:shd w:val="clear" w:color="auto" w:fill="E1DFDD"/>
    </w:rPr>
  </w:style>
  <w:style w:type="paragraph" w:styleId="Header">
    <w:name w:val="header"/>
    <w:basedOn w:val="Normal"/>
    <w:link w:val="HeaderChar"/>
    <w:uiPriority w:val="99"/>
    <w:unhideWhenUsed/>
    <w:rsid w:val="004D47A6"/>
    <w:pPr>
      <w:tabs>
        <w:tab w:val="center" w:pos="4320"/>
        <w:tab w:val="right" w:pos="8640"/>
      </w:tabs>
    </w:pPr>
  </w:style>
  <w:style w:type="character" w:customStyle="1" w:styleId="HeaderChar">
    <w:name w:val="Header Char"/>
    <w:basedOn w:val="DefaultParagraphFont"/>
    <w:link w:val="Header"/>
    <w:uiPriority w:val="99"/>
    <w:rsid w:val="004D47A6"/>
    <w:rPr>
      <w:rFonts w:ascii="Times New Roman" w:eastAsia="Times New Roman" w:hAnsi="Times New Roman" w:cs="Times New Roman"/>
      <w:lang w:eastAsia="en-GB"/>
    </w:rPr>
  </w:style>
  <w:style w:type="paragraph" w:styleId="Footer">
    <w:name w:val="footer"/>
    <w:basedOn w:val="Normal"/>
    <w:link w:val="FooterChar"/>
    <w:uiPriority w:val="99"/>
    <w:unhideWhenUsed/>
    <w:rsid w:val="004D47A6"/>
    <w:pPr>
      <w:tabs>
        <w:tab w:val="center" w:pos="4320"/>
        <w:tab w:val="right" w:pos="8640"/>
      </w:tabs>
    </w:pPr>
  </w:style>
  <w:style w:type="character" w:customStyle="1" w:styleId="FooterChar">
    <w:name w:val="Footer Char"/>
    <w:basedOn w:val="DefaultParagraphFont"/>
    <w:link w:val="Footer"/>
    <w:uiPriority w:val="99"/>
    <w:rsid w:val="004D47A6"/>
    <w:rPr>
      <w:rFonts w:ascii="Times New Roman" w:eastAsia="Times New Roman" w:hAnsi="Times New Roman" w:cs="Times New Roman"/>
      <w:lang w:eastAsia="en-GB"/>
    </w:rPr>
  </w:style>
  <w:style w:type="character" w:styleId="Strong">
    <w:name w:val="Strong"/>
    <w:basedOn w:val="DefaultParagraphFont"/>
    <w:uiPriority w:val="22"/>
    <w:qFormat/>
    <w:rsid w:val="00627BDA"/>
    <w:rPr>
      <w:b/>
      <w:bCs/>
    </w:rPr>
  </w:style>
  <w:style w:type="character" w:customStyle="1" w:styleId="badge">
    <w:name w:val="badge"/>
    <w:basedOn w:val="DefaultParagraphFont"/>
    <w:rsid w:val="00713656"/>
  </w:style>
  <w:style w:type="character" w:styleId="UnresolvedMention">
    <w:name w:val="Unresolved Mention"/>
    <w:basedOn w:val="DefaultParagraphFont"/>
    <w:uiPriority w:val="99"/>
    <w:semiHidden/>
    <w:unhideWhenUsed/>
    <w:rsid w:val="00A72126"/>
    <w:rPr>
      <w:color w:val="605E5C"/>
      <w:shd w:val="clear" w:color="auto" w:fill="E1DFDD"/>
    </w:rPr>
  </w:style>
  <w:style w:type="character" w:styleId="FollowedHyperlink">
    <w:name w:val="FollowedHyperlink"/>
    <w:basedOn w:val="DefaultParagraphFont"/>
    <w:uiPriority w:val="99"/>
    <w:semiHidden/>
    <w:unhideWhenUsed/>
    <w:rsid w:val="00582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6161">
      <w:bodyDiv w:val="1"/>
      <w:marLeft w:val="0"/>
      <w:marRight w:val="0"/>
      <w:marTop w:val="0"/>
      <w:marBottom w:val="0"/>
      <w:divBdr>
        <w:top w:val="none" w:sz="0" w:space="0" w:color="auto"/>
        <w:left w:val="none" w:sz="0" w:space="0" w:color="auto"/>
        <w:bottom w:val="none" w:sz="0" w:space="0" w:color="auto"/>
        <w:right w:val="none" w:sz="0" w:space="0" w:color="auto"/>
      </w:divBdr>
    </w:div>
    <w:div w:id="84889129">
      <w:bodyDiv w:val="1"/>
      <w:marLeft w:val="0"/>
      <w:marRight w:val="0"/>
      <w:marTop w:val="0"/>
      <w:marBottom w:val="0"/>
      <w:divBdr>
        <w:top w:val="none" w:sz="0" w:space="0" w:color="auto"/>
        <w:left w:val="none" w:sz="0" w:space="0" w:color="auto"/>
        <w:bottom w:val="none" w:sz="0" w:space="0" w:color="auto"/>
        <w:right w:val="none" w:sz="0" w:space="0" w:color="auto"/>
      </w:divBdr>
    </w:div>
    <w:div w:id="126552599">
      <w:bodyDiv w:val="1"/>
      <w:marLeft w:val="0"/>
      <w:marRight w:val="0"/>
      <w:marTop w:val="0"/>
      <w:marBottom w:val="0"/>
      <w:divBdr>
        <w:top w:val="none" w:sz="0" w:space="0" w:color="auto"/>
        <w:left w:val="none" w:sz="0" w:space="0" w:color="auto"/>
        <w:bottom w:val="none" w:sz="0" w:space="0" w:color="auto"/>
        <w:right w:val="none" w:sz="0" w:space="0" w:color="auto"/>
      </w:divBdr>
    </w:div>
    <w:div w:id="136727864">
      <w:bodyDiv w:val="1"/>
      <w:marLeft w:val="0"/>
      <w:marRight w:val="0"/>
      <w:marTop w:val="0"/>
      <w:marBottom w:val="0"/>
      <w:divBdr>
        <w:top w:val="none" w:sz="0" w:space="0" w:color="auto"/>
        <w:left w:val="none" w:sz="0" w:space="0" w:color="auto"/>
        <w:bottom w:val="none" w:sz="0" w:space="0" w:color="auto"/>
        <w:right w:val="none" w:sz="0" w:space="0" w:color="auto"/>
      </w:divBdr>
    </w:div>
    <w:div w:id="139612475">
      <w:bodyDiv w:val="1"/>
      <w:marLeft w:val="0"/>
      <w:marRight w:val="0"/>
      <w:marTop w:val="0"/>
      <w:marBottom w:val="0"/>
      <w:divBdr>
        <w:top w:val="none" w:sz="0" w:space="0" w:color="auto"/>
        <w:left w:val="none" w:sz="0" w:space="0" w:color="auto"/>
        <w:bottom w:val="none" w:sz="0" w:space="0" w:color="auto"/>
        <w:right w:val="none" w:sz="0" w:space="0" w:color="auto"/>
      </w:divBdr>
    </w:div>
    <w:div w:id="149368631">
      <w:bodyDiv w:val="1"/>
      <w:marLeft w:val="0"/>
      <w:marRight w:val="0"/>
      <w:marTop w:val="0"/>
      <w:marBottom w:val="0"/>
      <w:divBdr>
        <w:top w:val="none" w:sz="0" w:space="0" w:color="auto"/>
        <w:left w:val="none" w:sz="0" w:space="0" w:color="auto"/>
        <w:bottom w:val="none" w:sz="0" w:space="0" w:color="auto"/>
        <w:right w:val="none" w:sz="0" w:space="0" w:color="auto"/>
      </w:divBdr>
    </w:div>
    <w:div w:id="174195256">
      <w:bodyDiv w:val="1"/>
      <w:marLeft w:val="0"/>
      <w:marRight w:val="0"/>
      <w:marTop w:val="0"/>
      <w:marBottom w:val="0"/>
      <w:divBdr>
        <w:top w:val="none" w:sz="0" w:space="0" w:color="auto"/>
        <w:left w:val="none" w:sz="0" w:space="0" w:color="auto"/>
        <w:bottom w:val="none" w:sz="0" w:space="0" w:color="auto"/>
        <w:right w:val="none" w:sz="0" w:space="0" w:color="auto"/>
      </w:divBdr>
    </w:div>
    <w:div w:id="216162378">
      <w:bodyDiv w:val="1"/>
      <w:marLeft w:val="0"/>
      <w:marRight w:val="0"/>
      <w:marTop w:val="0"/>
      <w:marBottom w:val="0"/>
      <w:divBdr>
        <w:top w:val="none" w:sz="0" w:space="0" w:color="auto"/>
        <w:left w:val="none" w:sz="0" w:space="0" w:color="auto"/>
        <w:bottom w:val="none" w:sz="0" w:space="0" w:color="auto"/>
        <w:right w:val="none" w:sz="0" w:space="0" w:color="auto"/>
      </w:divBdr>
    </w:div>
    <w:div w:id="233662349">
      <w:bodyDiv w:val="1"/>
      <w:marLeft w:val="0"/>
      <w:marRight w:val="0"/>
      <w:marTop w:val="0"/>
      <w:marBottom w:val="0"/>
      <w:divBdr>
        <w:top w:val="none" w:sz="0" w:space="0" w:color="auto"/>
        <w:left w:val="none" w:sz="0" w:space="0" w:color="auto"/>
        <w:bottom w:val="none" w:sz="0" w:space="0" w:color="auto"/>
        <w:right w:val="none" w:sz="0" w:space="0" w:color="auto"/>
      </w:divBdr>
    </w:div>
    <w:div w:id="255136399">
      <w:bodyDiv w:val="1"/>
      <w:marLeft w:val="0"/>
      <w:marRight w:val="0"/>
      <w:marTop w:val="0"/>
      <w:marBottom w:val="0"/>
      <w:divBdr>
        <w:top w:val="none" w:sz="0" w:space="0" w:color="auto"/>
        <w:left w:val="none" w:sz="0" w:space="0" w:color="auto"/>
        <w:bottom w:val="none" w:sz="0" w:space="0" w:color="auto"/>
        <w:right w:val="none" w:sz="0" w:space="0" w:color="auto"/>
      </w:divBdr>
    </w:div>
    <w:div w:id="322054859">
      <w:bodyDiv w:val="1"/>
      <w:marLeft w:val="0"/>
      <w:marRight w:val="0"/>
      <w:marTop w:val="0"/>
      <w:marBottom w:val="0"/>
      <w:divBdr>
        <w:top w:val="none" w:sz="0" w:space="0" w:color="auto"/>
        <w:left w:val="none" w:sz="0" w:space="0" w:color="auto"/>
        <w:bottom w:val="none" w:sz="0" w:space="0" w:color="auto"/>
        <w:right w:val="none" w:sz="0" w:space="0" w:color="auto"/>
      </w:divBdr>
    </w:div>
    <w:div w:id="355471399">
      <w:bodyDiv w:val="1"/>
      <w:marLeft w:val="0"/>
      <w:marRight w:val="0"/>
      <w:marTop w:val="0"/>
      <w:marBottom w:val="0"/>
      <w:divBdr>
        <w:top w:val="none" w:sz="0" w:space="0" w:color="auto"/>
        <w:left w:val="none" w:sz="0" w:space="0" w:color="auto"/>
        <w:bottom w:val="none" w:sz="0" w:space="0" w:color="auto"/>
        <w:right w:val="none" w:sz="0" w:space="0" w:color="auto"/>
      </w:divBdr>
    </w:div>
    <w:div w:id="415904776">
      <w:bodyDiv w:val="1"/>
      <w:marLeft w:val="0"/>
      <w:marRight w:val="0"/>
      <w:marTop w:val="0"/>
      <w:marBottom w:val="0"/>
      <w:divBdr>
        <w:top w:val="none" w:sz="0" w:space="0" w:color="auto"/>
        <w:left w:val="none" w:sz="0" w:space="0" w:color="auto"/>
        <w:bottom w:val="none" w:sz="0" w:space="0" w:color="auto"/>
        <w:right w:val="none" w:sz="0" w:space="0" w:color="auto"/>
      </w:divBdr>
    </w:div>
    <w:div w:id="417599633">
      <w:bodyDiv w:val="1"/>
      <w:marLeft w:val="0"/>
      <w:marRight w:val="0"/>
      <w:marTop w:val="0"/>
      <w:marBottom w:val="0"/>
      <w:divBdr>
        <w:top w:val="none" w:sz="0" w:space="0" w:color="auto"/>
        <w:left w:val="none" w:sz="0" w:space="0" w:color="auto"/>
        <w:bottom w:val="none" w:sz="0" w:space="0" w:color="auto"/>
        <w:right w:val="none" w:sz="0" w:space="0" w:color="auto"/>
      </w:divBdr>
    </w:div>
    <w:div w:id="439833462">
      <w:bodyDiv w:val="1"/>
      <w:marLeft w:val="0"/>
      <w:marRight w:val="0"/>
      <w:marTop w:val="0"/>
      <w:marBottom w:val="0"/>
      <w:divBdr>
        <w:top w:val="none" w:sz="0" w:space="0" w:color="auto"/>
        <w:left w:val="none" w:sz="0" w:space="0" w:color="auto"/>
        <w:bottom w:val="none" w:sz="0" w:space="0" w:color="auto"/>
        <w:right w:val="none" w:sz="0" w:space="0" w:color="auto"/>
      </w:divBdr>
    </w:div>
    <w:div w:id="460075287">
      <w:bodyDiv w:val="1"/>
      <w:marLeft w:val="0"/>
      <w:marRight w:val="0"/>
      <w:marTop w:val="0"/>
      <w:marBottom w:val="0"/>
      <w:divBdr>
        <w:top w:val="none" w:sz="0" w:space="0" w:color="auto"/>
        <w:left w:val="none" w:sz="0" w:space="0" w:color="auto"/>
        <w:bottom w:val="none" w:sz="0" w:space="0" w:color="auto"/>
        <w:right w:val="none" w:sz="0" w:space="0" w:color="auto"/>
      </w:divBdr>
    </w:div>
    <w:div w:id="464809240">
      <w:bodyDiv w:val="1"/>
      <w:marLeft w:val="0"/>
      <w:marRight w:val="0"/>
      <w:marTop w:val="0"/>
      <w:marBottom w:val="0"/>
      <w:divBdr>
        <w:top w:val="none" w:sz="0" w:space="0" w:color="auto"/>
        <w:left w:val="none" w:sz="0" w:space="0" w:color="auto"/>
        <w:bottom w:val="none" w:sz="0" w:space="0" w:color="auto"/>
        <w:right w:val="none" w:sz="0" w:space="0" w:color="auto"/>
      </w:divBdr>
    </w:div>
    <w:div w:id="547300586">
      <w:bodyDiv w:val="1"/>
      <w:marLeft w:val="0"/>
      <w:marRight w:val="0"/>
      <w:marTop w:val="0"/>
      <w:marBottom w:val="0"/>
      <w:divBdr>
        <w:top w:val="none" w:sz="0" w:space="0" w:color="auto"/>
        <w:left w:val="none" w:sz="0" w:space="0" w:color="auto"/>
        <w:bottom w:val="none" w:sz="0" w:space="0" w:color="auto"/>
        <w:right w:val="none" w:sz="0" w:space="0" w:color="auto"/>
      </w:divBdr>
    </w:div>
    <w:div w:id="595483051">
      <w:bodyDiv w:val="1"/>
      <w:marLeft w:val="0"/>
      <w:marRight w:val="0"/>
      <w:marTop w:val="0"/>
      <w:marBottom w:val="0"/>
      <w:divBdr>
        <w:top w:val="none" w:sz="0" w:space="0" w:color="auto"/>
        <w:left w:val="none" w:sz="0" w:space="0" w:color="auto"/>
        <w:bottom w:val="none" w:sz="0" w:space="0" w:color="auto"/>
        <w:right w:val="none" w:sz="0" w:space="0" w:color="auto"/>
      </w:divBdr>
    </w:div>
    <w:div w:id="603534398">
      <w:bodyDiv w:val="1"/>
      <w:marLeft w:val="0"/>
      <w:marRight w:val="0"/>
      <w:marTop w:val="0"/>
      <w:marBottom w:val="0"/>
      <w:divBdr>
        <w:top w:val="none" w:sz="0" w:space="0" w:color="auto"/>
        <w:left w:val="none" w:sz="0" w:space="0" w:color="auto"/>
        <w:bottom w:val="none" w:sz="0" w:space="0" w:color="auto"/>
        <w:right w:val="none" w:sz="0" w:space="0" w:color="auto"/>
      </w:divBdr>
    </w:div>
    <w:div w:id="629481974">
      <w:bodyDiv w:val="1"/>
      <w:marLeft w:val="0"/>
      <w:marRight w:val="0"/>
      <w:marTop w:val="0"/>
      <w:marBottom w:val="0"/>
      <w:divBdr>
        <w:top w:val="none" w:sz="0" w:space="0" w:color="auto"/>
        <w:left w:val="none" w:sz="0" w:space="0" w:color="auto"/>
        <w:bottom w:val="none" w:sz="0" w:space="0" w:color="auto"/>
        <w:right w:val="none" w:sz="0" w:space="0" w:color="auto"/>
      </w:divBdr>
    </w:div>
    <w:div w:id="637339812">
      <w:bodyDiv w:val="1"/>
      <w:marLeft w:val="0"/>
      <w:marRight w:val="0"/>
      <w:marTop w:val="0"/>
      <w:marBottom w:val="0"/>
      <w:divBdr>
        <w:top w:val="none" w:sz="0" w:space="0" w:color="auto"/>
        <w:left w:val="none" w:sz="0" w:space="0" w:color="auto"/>
        <w:bottom w:val="none" w:sz="0" w:space="0" w:color="auto"/>
        <w:right w:val="none" w:sz="0" w:space="0" w:color="auto"/>
      </w:divBdr>
    </w:div>
    <w:div w:id="654987942">
      <w:bodyDiv w:val="1"/>
      <w:marLeft w:val="0"/>
      <w:marRight w:val="0"/>
      <w:marTop w:val="0"/>
      <w:marBottom w:val="0"/>
      <w:divBdr>
        <w:top w:val="none" w:sz="0" w:space="0" w:color="auto"/>
        <w:left w:val="none" w:sz="0" w:space="0" w:color="auto"/>
        <w:bottom w:val="none" w:sz="0" w:space="0" w:color="auto"/>
        <w:right w:val="none" w:sz="0" w:space="0" w:color="auto"/>
      </w:divBdr>
    </w:div>
    <w:div w:id="920993540">
      <w:bodyDiv w:val="1"/>
      <w:marLeft w:val="0"/>
      <w:marRight w:val="0"/>
      <w:marTop w:val="0"/>
      <w:marBottom w:val="0"/>
      <w:divBdr>
        <w:top w:val="none" w:sz="0" w:space="0" w:color="auto"/>
        <w:left w:val="none" w:sz="0" w:space="0" w:color="auto"/>
        <w:bottom w:val="none" w:sz="0" w:space="0" w:color="auto"/>
        <w:right w:val="none" w:sz="0" w:space="0" w:color="auto"/>
      </w:divBdr>
    </w:div>
    <w:div w:id="957949752">
      <w:bodyDiv w:val="1"/>
      <w:marLeft w:val="0"/>
      <w:marRight w:val="0"/>
      <w:marTop w:val="0"/>
      <w:marBottom w:val="0"/>
      <w:divBdr>
        <w:top w:val="none" w:sz="0" w:space="0" w:color="auto"/>
        <w:left w:val="none" w:sz="0" w:space="0" w:color="auto"/>
        <w:bottom w:val="none" w:sz="0" w:space="0" w:color="auto"/>
        <w:right w:val="none" w:sz="0" w:space="0" w:color="auto"/>
      </w:divBdr>
    </w:div>
    <w:div w:id="985090231">
      <w:bodyDiv w:val="1"/>
      <w:marLeft w:val="0"/>
      <w:marRight w:val="0"/>
      <w:marTop w:val="0"/>
      <w:marBottom w:val="0"/>
      <w:divBdr>
        <w:top w:val="none" w:sz="0" w:space="0" w:color="auto"/>
        <w:left w:val="none" w:sz="0" w:space="0" w:color="auto"/>
        <w:bottom w:val="none" w:sz="0" w:space="0" w:color="auto"/>
        <w:right w:val="none" w:sz="0" w:space="0" w:color="auto"/>
      </w:divBdr>
    </w:div>
    <w:div w:id="994140916">
      <w:bodyDiv w:val="1"/>
      <w:marLeft w:val="0"/>
      <w:marRight w:val="0"/>
      <w:marTop w:val="0"/>
      <w:marBottom w:val="0"/>
      <w:divBdr>
        <w:top w:val="none" w:sz="0" w:space="0" w:color="auto"/>
        <w:left w:val="none" w:sz="0" w:space="0" w:color="auto"/>
        <w:bottom w:val="none" w:sz="0" w:space="0" w:color="auto"/>
        <w:right w:val="none" w:sz="0" w:space="0" w:color="auto"/>
      </w:divBdr>
    </w:div>
    <w:div w:id="1023094012">
      <w:bodyDiv w:val="1"/>
      <w:marLeft w:val="0"/>
      <w:marRight w:val="0"/>
      <w:marTop w:val="0"/>
      <w:marBottom w:val="0"/>
      <w:divBdr>
        <w:top w:val="none" w:sz="0" w:space="0" w:color="auto"/>
        <w:left w:val="none" w:sz="0" w:space="0" w:color="auto"/>
        <w:bottom w:val="none" w:sz="0" w:space="0" w:color="auto"/>
        <w:right w:val="none" w:sz="0" w:space="0" w:color="auto"/>
      </w:divBdr>
    </w:div>
    <w:div w:id="1089698247">
      <w:bodyDiv w:val="1"/>
      <w:marLeft w:val="0"/>
      <w:marRight w:val="0"/>
      <w:marTop w:val="0"/>
      <w:marBottom w:val="0"/>
      <w:divBdr>
        <w:top w:val="none" w:sz="0" w:space="0" w:color="auto"/>
        <w:left w:val="none" w:sz="0" w:space="0" w:color="auto"/>
        <w:bottom w:val="none" w:sz="0" w:space="0" w:color="auto"/>
        <w:right w:val="none" w:sz="0" w:space="0" w:color="auto"/>
      </w:divBdr>
    </w:div>
    <w:div w:id="1114979783">
      <w:bodyDiv w:val="1"/>
      <w:marLeft w:val="0"/>
      <w:marRight w:val="0"/>
      <w:marTop w:val="0"/>
      <w:marBottom w:val="0"/>
      <w:divBdr>
        <w:top w:val="none" w:sz="0" w:space="0" w:color="auto"/>
        <w:left w:val="none" w:sz="0" w:space="0" w:color="auto"/>
        <w:bottom w:val="none" w:sz="0" w:space="0" w:color="auto"/>
        <w:right w:val="none" w:sz="0" w:space="0" w:color="auto"/>
      </w:divBdr>
      <w:divsChild>
        <w:div w:id="1645041402">
          <w:marLeft w:val="0"/>
          <w:marRight w:val="0"/>
          <w:marTop w:val="0"/>
          <w:marBottom w:val="0"/>
          <w:divBdr>
            <w:top w:val="none" w:sz="0" w:space="0" w:color="auto"/>
            <w:left w:val="none" w:sz="0" w:space="0" w:color="auto"/>
            <w:bottom w:val="none" w:sz="0" w:space="0" w:color="auto"/>
            <w:right w:val="none" w:sz="0" w:space="0" w:color="auto"/>
          </w:divBdr>
        </w:div>
      </w:divsChild>
    </w:div>
    <w:div w:id="1194415624">
      <w:bodyDiv w:val="1"/>
      <w:marLeft w:val="0"/>
      <w:marRight w:val="0"/>
      <w:marTop w:val="0"/>
      <w:marBottom w:val="0"/>
      <w:divBdr>
        <w:top w:val="none" w:sz="0" w:space="0" w:color="auto"/>
        <w:left w:val="none" w:sz="0" w:space="0" w:color="auto"/>
        <w:bottom w:val="none" w:sz="0" w:space="0" w:color="auto"/>
        <w:right w:val="none" w:sz="0" w:space="0" w:color="auto"/>
      </w:divBdr>
    </w:div>
    <w:div w:id="1316494234">
      <w:bodyDiv w:val="1"/>
      <w:marLeft w:val="0"/>
      <w:marRight w:val="0"/>
      <w:marTop w:val="0"/>
      <w:marBottom w:val="0"/>
      <w:divBdr>
        <w:top w:val="none" w:sz="0" w:space="0" w:color="auto"/>
        <w:left w:val="none" w:sz="0" w:space="0" w:color="auto"/>
        <w:bottom w:val="none" w:sz="0" w:space="0" w:color="auto"/>
        <w:right w:val="none" w:sz="0" w:space="0" w:color="auto"/>
      </w:divBdr>
    </w:div>
    <w:div w:id="1331640143">
      <w:bodyDiv w:val="1"/>
      <w:marLeft w:val="0"/>
      <w:marRight w:val="0"/>
      <w:marTop w:val="0"/>
      <w:marBottom w:val="0"/>
      <w:divBdr>
        <w:top w:val="none" w:sz="0" w:space="0" w:color="auto"/>
        <w:left w:val="none" w:sz="0" w:space="0" w:color="auto"/>
        <w:bottom w:val="none" w:sz="0" w:space="0" w:color="auto"/>
        <w:right w:val="none" w:sz="0" w:space="0" w:color="auto"/>
      </w:divBdr>
    </w:div>
    <w:div w:id="1340504297">
      <w:bodyDiv w:val="1"/>
      <w:marLeft w:val="0"/>
      <w:marRight w:val="0"/>
      <w:marTop w:val="0"/>
      <w:marBottom w:val="0"/>
      <w:divBdr>
        <w:top w:val="none" w:sz="0" w:space="0" w:color="auto"/>
        <w:left w:val="none" w:sz="0" w:space="0" w:color="auto"/>
        <w:bottom w:val="none" w:sz="0" w:space="0" w:color="auto"/>
        <w:right w:val="none" w:sz="0" w:space="0" w:color="auto"/>
      </w:divBdr>
    </w:div>
    <w:div w:id="1384207256">
      <w:bodyDiv w:val="1"/>
      <w:marLeft w:val="0"/>
      <w:marRight w:val="0"/>
      <w:marTop w:val="0"/>
      <w:marBottom w:val="0"/>
      <w:divBdr>
        <w:top w:val="none" w:sz="0" w:space="0" w:color="auto"/>
        <w:left w:val="none" w:sz="0" w:space="0" w:color="auto"/>
        <w:bottom w:val="none" w:sz="0" w:space="0" w:color="auto"/>
        <w:right w:val="none" w:sz="0" w:space="0" w:color="auto"/>
      </w:divBdr>
    </w:div>
    <w:div w:id="1395422003">
      <w:bodyDiv w:val="1"/>
      <w:marLeft w:val="0"/>
      <w:marRight w:val="0"/>
      <w:marTop w:val="0"/>
      <w:marBottom w:val="0"/>
      <w:divBdr>
        <w:top w:val="none" w:sz="0" w:space="0" w:color="auto"/>
        <w:left w:val="none" w:sz="0" w:space="0" w:color="auto"/>
        <w:bottom w:val="none" w:sz="0" w:space="0" w:color="auto"/>
        <w:right w:val="none" w:sz="0" w:space="0" w:color="auto"/>
      </w:divBdr>
    </w:div>
    <w:div w:id="1396048661">
      <w:bodyDiv w:val="1"/>
      <w:marLeft w:val="0"/>
      <w:marRight w:val="0"/>
      <w:marTop w:val="0"/>
      <w:marBottom w:val="0"/>
      <w:divBdr>
        <w:top w:val="none" w:sz="0" w:space="0" w:color="auto"/>
        <w:left w:val="none" w:sz="0" w:space="0" w:color="auto"/>
        <w:bottom w:val="none" w:sz="0" w:space="0" w:color="auto"/>
        <w:right w:val="none" w:sz="0" w:space="0" w:color="auto"/>
      </w:divBdr>
    </w:div>
    <w:div w:id="1416824615">
      <w:bodyDiv w:val="1"/>
      <w:marLeft w:val="0"/>
      <w:marRight w:val="0"/>
      <w:marTop w:val="0"/>
      <w:marBottom w:val="0"/>
      <w:divBdr>
        <w:top w:val="none" w:sz="0" w:space="0" w:color="auto"/>
        <w:left w:val="none" w:sz="0" w:space="0" w:color="auto"/>
        <w:bottom w:val="none" w:sz="0" w:space="0" w:color="auto"/>
        <w:right w:val="none" w:sz="0" w:space="0" w:color="auto"/>
      </w:divBdr>
    </w:div>
    <w:div w:id="1417172470">
      <w:bodyDiv w:val="1"/>
      <w:marLeft w:val="0"/>
      <w:marRight w:val="0"/>
      <w:marTop w:val="0"/>
      <w:marBottom w:val="0"/>
      <w:divBdr>
        <w:top w:val="none" w:sz="0" w:space="0" w:color="auto"/>
        <w:left w:val="none" w:sz="0" w:space="0" w:color="auto"/>
        <w:bottom w:val="none" w:sz="0" w:space="0" w:color="auto"/>
        <w:right w:val="none" w:sz="0" w:space="0" w:color="auto"/>
      </w:divBdr>
    </w:div>
    <w:div w:id="1424185996">
      <w:bodyDiv w:val="1"/>
      <w:marLeft w:val="0"/>
      <w:marRight w:val="0"/>
      <w:marTop w:val="0"/>
      <w:marBottom w:val="0"/>
      <w:divBdr>
        <w:top w:val="none" w:sz="0" w:space="0" w:color="auto"/>
        <w:left w:val="none" w:sz="0" w:space="0" w:color="auto"/>
        <w:bottom w:val="none" w:sz="0" w:space="0" w:color="auto"/>
        <w:right w:val="none" w:sz="0" w:space="0" w:color="auto"/>
      </w:divBdr>
    </w:div>
    <w:div w:id="1443650969">
      <w:bodyDiv w:val="1"/>
      <w:marLeft w:val="0"/>
      <w:marRight w:val="0"/>
      <w:marTop w:val="0"/>
      <w:marBottom w:val="0"/>
      <w:divBdr>
        <w:top w:val="none" w:sz="0" w:space="0" w:color="auto"/>
        <w:left w:val="none" w:sz="0" w:space="0" w:color="auto"/>
        <w:bottom w:val="none" w:sz="0" w:space="0" w:color="auto"/>
        <w:right w:val="none" w:sz="0" w:space="0" w:color="auto"/>
      </w:divBdr>
    </w:div>
    <w:div w:id="1490320110">
      <w:bodyDiv w:val="1"/>
      <w:marLeft w:val="0"/>
      <w:marRight w:val="0"/>
      <w:marTop w:val="0"/>
      <w:marBottom w:val="0"/>
      <w:divBdr>
        <w:top w:val="none" w:sz="0" w:space="0" w:color="auto"/>
        <w:left w:val="none" w:sz="0" w:space="0" w:color="auto"/>
        <w:bottom w:val="none" w:sz="0" w:space="0" w:color="auto"/>
        <w:right w:val="none" w:sz="0" w:space="0" w:color="auto"/>
      </w:divBdr>
    </w:div>
    <w:div w:id="1500389204">
      <w:bodyDiv w:val="1"/>
      <w:marLeft w:val="0"/>
      <w:marRight w:val="0"/>
      <w:marTop w:val="0"/>
      <w:marBottom w:val="0"/>
      <w:divBdr>
        <w:top w:val="none" w:sz="0" w:space="0" w:color="auto"/>
        <w:left w:val="none" w:sz="0" w:space="0" w:color="auto"/>
        <w:bottom w:val="none" w:sz="0" w:space="0" w:color="auto"/>
        <w:right w:val="none" w:sz="0" w:space="0" w:color="auto"/>
      </w:divBdr>
    </w:div>
    <w:div w:id="1593126970">
      <w:bodyDiv w:val="1"/>
      <w:marLeft w:val="0"/>
      <w:marRight w:val="0"/>
      <w:marTop w:val="0"/>
      <w:marBottom w:val="0"/>
      <w:divBdr>
        <w:top w:val="none" w:sz="0" w:space="0" w:color="auto"/>
        <w:left w:val="none" w:sz="0" w:space="0" w:color="auto"/>
        <w:bottom w:val="none" w:sz="0" w:space="0" w:color="auto"/>
        <w:right w:val="none" w:sz="0" w:space="0" w:color="auto"/>
      </w:divBdr>
    </w:div>
    <w:div w:id="1638366836">
      <w:bodyDiv w:val="1"/>
      <w:marLeft w:val="0"/>
      <w:marRight w:val="0"/>
      <w:marTop w:val="0"/>
      <w:marBottom w:val="0"/>
      <w:divBdr>
        <w:top w:val="none" w:sz="0" w:space="0" w:color="auto"/>
        <w:left w:val="none" w:sz="0" w:space="0" w:color="auto"/>
        <w:bottom w:val="none" w:sz="0" w:space="0" w:color="auto"/>
        <w:right w:val="none" w:sz="0" w:space="0" w:color="auto"/>
      </w:divBdr>
    </w:div>
    <w:div w:id="1713727662">
      <w:bodyDiv w:val="1"/>
      <w:marLeft w:val="0"/>
      <w:marRight w:val="0"/>
      <w:marTop w:val="0"/>
      <w:marBottom w:val="0"/>
      <w:divBdr>
        <w:top w:val="none" w:sz="0" w:space="0" w:color="auto"/>
        <w:left w:val="none" w:sz="0" w:space="0" w:color="auto"/>
        <w:bottom w:val="none" w:sz="0" w:space="0" w:color="auto"/>
        <w:right w:val="none" w:sz="0" w:space="0" w:color="auto"/>
      </w:divBdr>
    </w:div>
    <w:div w:id="1724329779">
      <w:bodyDiv w:val="1"/>
      <w:marLeft w:val="0"/>
      <w:marRight w:val="0"/>
      <w:marTop w:val="0"/>
      <w:marBottom w:val="0"/>
      <w:divBdr>
        <w:top w:val="none" w:sz="0" w:space="0" w:color="auto"/>
        <w:left w:val="none" w:sz="0" w:space="0" w:color="auto"/>
        <w:bottom w:val="none" w:sz="0" w:space="0" w:color="auto"/>
        <w:right w:val="none" w:sz="0" w:space="0" w:color="auto"/>
      </w:divBdr>
    </w:div>
    <w:div w:id="1747875323">
      <w:bodyDiv w:val="1"/>
      <w:marLeft w:val="0"/>
      <w:marRight w:val="0"/>
      <w:marTop w:val="0"/>
      <w:marBottom w:val="0"/>
      <w:divBdr>
        <w:top w:val="none" w:sz="0" w:space="0" w:color="auto"/>
        <w:left w:val="none" w:sz="0" w:space="0" w:color="auto"/>
        <w:bottom w:val="none" w:sz="0" w:space="0" w:color="auto"/>
        <w:right w:val="none" w:sz="0" w:space="0" w:color="auto"/>
      </w:divBdr>
    </w:div>
    <w:div w:id="1793816224">
      <w:bodyDiv w:val="1"/>
      <w:marLeft w:val="0"/>
      <w:marRight w:val="0"/>
      <w:marTop w:val="0"/>
      <w:marBottom w:val="0"/>
      <w:divBdr>
        <w:top w:val="none" w:sz="0" w:space="0" w:color="auto"/>
        <w:left w:val="none" w:sz="0" w:space="0" w:color="auto"/>
        <w:bottom w:val="none" w:sz="0" w:space="0" w:color="auto"/>
        <w:right w:val="none" w:sz="0" w:space="0" w:color="auto"/>
      </w:divBdr>
    </w:div>
    <w:div w:id="1802259317">
      <w:bodyDiv w:val="1"/>
      <w:marLeft w:val="0"/>
      <w:marRight w:val="0"/>
      <w:marTop w:val="0"/>
      <w:marBottom w:val="0"/>
      <w:divBdr>
        <w:top w:val="none" w:sz="0" w:space="0" w:color="auto"/>
        <w:left w:val="none" w:sz="0" w:space="0" w:color="auto"/>
        <w:bottom w:val="none" w:sz="0" w:space="0" w:color="auto"/>
        <w:right w:val="none" w:sz="0" w:space="0" w:color="auto"/>
      </w:divBdr>
    </w:div>
    <w:div w:id="1816335389">
      <w:bodyDiv w:val="1"/>
      <w:marLeft w:val="0"/>
      <w:marRight w:val="0"/>
      <w:marTop w:val="0"/>
      <w:marBottom w:val="0"/>
      <w:divBdr>
        <w:top w:val="none" w:sz="0" w:space="0" w:color="auto"/>
        <w:left w:val="none" w:sz="0" w:space="0" w:color="auto"/>
        <w:bottom w:val="none" w:sz="0" w:space="0" w:color="auto"/>
        <w:right w:val="none" w:sz="0" w:space="0" w:color="auto"/>
      </w:divBdr>
    </w:div>
    <w:div w:id="1856459924">
      <w:bodyDiv w:val="1"/>
      <w:marLeft w:val="0"/>
      <w:marRight w:val="0"/>
      <w:marTop w:val="0"/>
      <w:marBottom w:val="0"/>
      <w:divBdr>
        <w:top w:val="none" w:sz="0" w:space="0" w:color="auto"/>
        <w:left w:val="none" w:sz="0" w:space="0" w:color="auto"/>
        <w:bottom w:val="none" w:sz="0" w:space="0" w:color="auto"/>
        <w:right w:val="none" w:sz="0" w:space="0" w:color="auto"/>
      </w:divBdr>
    </w:div>
    <w:div w:id="1904830568">
      <w:bodyDiv w:val="1"/>
      <w:marLeft w:val="0"/>
      <w:marRight w:val="0"/>
      <w:marTop w:val="0"/>
      <w:marBottom w:val="0"/>
      <w:divBdr>
        <w:top w:val="none" w:sz="0" w:space="0" w:color="auto"/>
        <w:left w:val="none" w:sz="0" w:space="0" w:color="auto"/>
        <w:bottom w:val="none" w:sz="0" w:space="0" w:color="auto"/>
        <w:right w:val="none" w:sz="0" w:space="0" w:color="auto"/>
      </w:divBdr>
    </w:div>
    <w:div w:id="1974208967">
      <w:bodyDiv w:val="1"/>
      <w:marLeft w:val="0"/>
      <w:marRight w:val="0"/>
      <w:marTop w:val="0"/>
      <w:marBottom w:val="0"/>
      <w:divBdr>
        <w:top w:val="none" w:sz="0" w:space="0" w:color="auto"/>
        <w:left w:val="none" w:sz="0" w:space="0" w:color="auto"/>
        <w:bottom w:val="none" w:sz="0" w:space="0" w:color="auto"/>
        <w:right w:val="none" w:sz="0" w:space="0" w:color="auto"/>
      </w:divBdr>
    </w:div>
    <w:div w:id="1975984047">
      <w:bodyDiv w:val="1"/>
      <w:marLeft w:val="0"/>
      <w:marRight w:val="0"/>
      <w:marTop w:val="0"/>
      <w:marBottom w:val="0"/>
      <w:divBdr>
        <w:top w:val="none" w:sz="0" w:space="0" w:color="auto"/>
        <w:left w:val="none" w:sz="0" w:space="0" w:color="auto"/>
        <w:bottom w:val="none" w:sz="0" w:space="0" w:color="auto"/>
        <w:right w:val="none" w:sz="0" w:space="0" w:color="auto"/>
      </w:divBdr>
    </w:div>
    <w:div w:id="1991980182">
      <w:bodyDiv w:val="1"/>
      <w:marLeft w:val="0"/>
      <w:marRight w:val="0"/>
      <w:marTop w:val="0"/>
      <w:marBottom w:val="0"/>
      <w:divBdr>
        <w:top w:val="none" w:sz="0" w:space="0" w:color="auto"/>
        <w:left w:val="none" w:sz="0" w:space="0" w:color="auto"/>
        <w:bottom w:val="none" w:sz="0" w:space="0" w:color="auto"/>
        <w:right w:val="none" w:sz="0" w:space="0" w:color="auto"/>
      </w:divBdr>
    </w:div>
    <w:div w:id="20294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9</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BACQ BANGALORE</dc:creator>
  <cp:keywords/>
  <dc:description/>
  <cp:lastModifiedBy>Yachna</cp:lastModifiedBy>
  <cp:revision>11</cp:revision>
  <cp:lastPrinted>2020-06-10T11:57:00Z</cp:lastPrinted>
  <dcterms:created xsi:type="dcterms:W3CDTF">2020-06-10T15:41:00Z</dcterms:created>
  <dcterms:modified xsi:type="dcterms:W3CDTF">2020-06-16T07:20:00Z</dcterms:modified>
</cp:coreProperties>
</file>