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2484" w14:textId="782A6000" w:rsidR="00C37E0D" w:rsidRDefault="00770714">
      <w:pPr>
        <w:rPr>
          <w:lang w:val="en-US"/>
        </w:rPr>
      </w:pPr>
      <w:r>
        <w:rPr>
          <w:lang w:val="en-US"/>
        </w:rPr>
        <w:t>BCL Industries</w:t>
      </w:r>
      <w:r w:rsidR="00C37E0D">
        <w:rPr>
          <w:lang w:val="en-US"/>
        </w:rPr>
        <w:t xml:space="preserve"> has three divisions:</w:t>
      </w:r>
    </w:p>
    <w:p w14:paraId="0CB1E9CC" w14:textId="49477884" w:rsidR="00C37E0D" w:rsidRDefault="00AA6196">
      <w:pPr>
        <w:rPr>
          <w:rFonts w:ascii="Arial" w:hAnsi="Arial" w:cs="Arial"/>
          <w:color w:val="606F7B"/>
          <w:spacing w:val="-3"/>
          <w:shd w:val="clear" w:color="auto" w:fill="FFFFFF"/>
        </w:rPr>
      </w:pP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Edible Oil &amp; Vanaspati: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 66% </w:t>
      </w:r>
      <w:r w:rsidR="0052259B"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of revenue 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in FY21 vs 53% in FY20</w:t>
      </w:r>
      <w:r w:rsidRPr="00E21BC5">
        <w:rPr>
          <w:rFonts w:ascii="Arial" w:hAnsi="Arial" w:cs="Arial"/>
          <w:color w:val="606F7B"/>
          <w:spacing w:val="-3"/>
        </w:rPr>
        <w:br/>
      </w: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Distillery: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 32%</w:t>
      </w:r>
      <w:r w:rsidR="0052259B"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 </w:t>
      </w:r>
      <w:r w:rsidR="0052259B" w:rsidRPr="00E21BC5">
        <w:rPr>
          <w:rFonts w:ascii="Arial" w:hAnsi="Arial" w:cs="Arial"/>
          <w:color w:val="606F7B"/>
          <w:spacing w:val="-3"/>
          <w:shd w:val="clear" w:color="auto" w:fill="FFFFFF"/>
        </w:rPr>
        <w:t>of revenue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 in FY21 vs 44% in FY20</w:t>
      </w:r>
      <w:r w:rsidRPr="00E21BC5">
        <w:rPr>
          <w:rFonts w:ascii="Arial" w:hAnsi="Arial" w:cs="Arial"/>
          <w:color w:val="606F7B"/>
          <w:spacing w:val="-3"/>
        </w:rPr>
        <w:br/>
      </w: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Real Estate: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 2% </w:t>
      </w:r>
      <w:r w:rsidR="0052259B"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of revenue 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in FY21 vs 3% in FY20</w:t>
      </w:r>
    </w:p>
    <w:p w14:paraId="55E737B1" w14:textId="2250760B" w:rsidR="00970667" w:rsidRDefault="00970667">
      <w:pPr>
        <w:rPr>
          <w:rFonts w:ascii="Arial" w:hAnsi="Arial" w:cs="Arial"/>
          <w:color w:val="606F7B"/>
          <w:spacing w:val="-3"/>
          <w:shd w:val="clear" w:color="auto" w:fill="FFFFFF"/>
        </w:rPr>
      </w:pPr>
    </w:p>
    <w:p w14:paraId="03CD3753" w14:textId="6BD33878" w:rsidR="00970667" w:rsidRDefault="00970667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The revenue mix has further changed and edible oil business is becoming a bigger portion:</w:t>
      </w:r>
    </w:p>
    <w:p w14:paraId="212A5333" w14:textId="1FE6CB49" w:rsidR="00970667" w:rsidRPr="00E21BC5" w:rsidRDefault="00970667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741161CB" wp14:editId="59E1A460">
            <wp:extent cx="3459780" cy="2606266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9780" cy="260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A234" w14:textId="77777777" w:rsidR="001D2EDE" w:rsidRPr="00E21BC5" w:rsidRDefault="001D2EDE">
      <w:pPr>
        <w:rPr>
          <w:rFonts w:ascii="Arial" w:hAnsi="Arial" w:cs="Arial"/>
          <w:color w:val="606F7B"/>
          <w:spacing w:val="-3"/>
          <w:shd w:val="clear" w:color="auto" w:fill="FFFFFF"/>
        </w:rPr>
      </w:pPr>
    </w:p>
    <w:p w14:paraId="7E49C9D5" w14:textId="3093E7A7" w:rsidR="001D2EDE" w:rsidRDefault="001D2EDE">
      <w:pPr>
        <w:rPr>
          <w:rFonts w:ascii="Arial" w:hAnsi="Arial" w:cs="Arial"/>
          <w:color w:val="606F7B"/>
          <w:spacing w:val="-3"/>
          <w:shd w:val="clear" w:color="auto" w:fill="FFFFFF"/>
        </w:rPr>
      </w:pP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 xml:space="preserve">Distillery/liquor business: 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Whisky, Gin, Rum, Vodka, etc under the brand </w:t>
      </w: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Asli Santra, Ranjha Saunfi, Punjab Special, Cozi Dry, Red Royal, Summer Chef</w:t>
      </w:r>
      <w:r w:rsidR="002F11E4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 xml:space="preserve">. </w:t>
      </w:r>
      <w:r w:rsidR="002F11E4">
        <w:rPr>
          <w:rFonts w:ascii="Arial" w:hAnsi="Arial" w:cs="Arial"/>
          <w:color w:val="606F7B"/>
          <w:spacing w:val="-3"/>
          <w:shd w:val="clear" w:color="auto" w:fill="FFFFFF"/>
        </w:rPr>
        <w:t>In the distillery segment, the company has a long-standing relationship with key clients, like Pernod Ricard, Radico Khaitan, Punjab Chemicals and Crop protection limited, Wonder healthcare</w:t>
      </w:r>
      <w:r w:rsidR="002F11E4">
        <w:rPr>
          <w:rFonts w:ascii="Arial" w:hAnsi="Arial" w:cs="Arial"/>
          <w:color w:val="606F7B"/>
          <w:spacing w:val="-3"/>
          <w:shd w:val="clear" w:color="auto" w:fill="FFFFFF"/>
        </w:rPr>
        <w:t>.</w:t>
      </w:r>
    </w:p>
    <w:p w14:paraId="352AB1A8" w14:textId="3A8010CC" w:rsidR="00C05B38" w:rsidRDefault="00C05B38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They are expanding capacity in liquor business </w:t>
      </w:r>
      <w:r w:rsidR="00496050">
        <w:rPr>
          <w:rFonts w:ascii="Arial" w:hAnsi="Arial" w:cs="Arial"/>
          <w:color w:val="606F7B"/>
          <w:spacing w:val="-3"/>
          <w:shd w:val="clear" w:color="auto" w:fill="FFFFFF"/>
        </w:rPr>
        <w:t>from present 200 KLPD (kilolitres per day) to 700 KLPD.</w:t>
      </w:r>
    </w:p>
    <w:p w14:paraId="5EECE238" w14:textId="39F625AB" w:rsidR="00C05B38" w:rsidRDefault="00C05B38">
      <w:pPr>
        <w:rPr>
          <w:rFonts w:ascii="Arial" w:hAnsi="Arial" w:cs="Arial"/>
          <w:color w:val="606F7B"/>
          <w:spacing w:val="-3"/>
          <w:shd w:val="clear" w:color="auto" w:fill="FFFFFF"/>
        </w:rPr>
      </w:pPr>
    </w:p>
    <w:p w14:paraId="2166B9CB" w14:textId="330FE3C5" w:rsidR="00C05B38" w:rsidRDefault="00C05B3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B745E4F" wp14:editId="5A52ABC1">
            <wp:extent cx="5631668" cy="4602879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1668" cy="46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1BD75" w14:textId="254B581D" w:rsidR="006F2878" w:rsidRDefault="006F2878">
      <w:pPr>
        <w:rPr>
          <w:lang w:val="en-US"/>
        </w:rPr>
      </w:pPr>
    </w:p>
    <w:p w14:paraId="56800BBA" w14:textId="04709026" w:rsidR="006F2878" w:rsidRDefault="00FC350B">
      <w:pPr>
        <w:rPr>
          <w:lang w:val="en-US"/>
        </w:rPr>
      </w:pPr>
      <w:r>
        <w:rPr>
          <w:lang w:val="en-US"/>
        </w:rPr>
        <w:t>Initial plant testing for Svaksha has begun and the additional 200 KLPD at Bathinda is expected to be complete by November 2022:</w:t>
      </w:r>
    </w:p>
    <w:p w14:paraId="6D56B5CD" w14:textId="21DA7D7E" w:rsidR="00FC350B" w:rsidRDefault="00FC350B">
      <w:pPr>
        <w:rPr>
          <w:lang w:val="en-US"/>
        </w:rPr>
      </w:pPr>
      <w:r>
        <w:rPr>
          <w:noProof/>
        </w:rPr>
        <w:drawing>
          <wp:inline distT="0" distB="0" distL="0" distR="0" wp14:anchorId="560D00F2" wp14:editId="71D9EA3B">
            <wp:extent cx="5731510" cy="5549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52EFD" w14:textId="59E88BE1" w:rsidR="000F32C3" w:rsidRDefault="000F32C3">
      <w:pPr>
        <w:rPr>
          <w:lang w:val="en-US"/>
        </w:rPr>
      </w:pPr>
    </w:p>
    <w:p w14:paraId="5A5DBE4B" w14:textId="1DF07956" w:rsidR="005A621E" w:rsidRDefault="000F32C3">
      <w:pPr>
        <w:rPr>
          <w:lang w:val="en-US"/>
        </w:rPr>
      </w:pPr>
      <w:r>
        <w:rPr>
          <w:lang w:val="en-US"/>
        </w:rPr>
        <w:t>FY21 sales from liquor business were 470 Cr. If we assume capacity utilization levels and reali</w:t>
      </w:r>
      <w:r w:rsidR="00391EAE">
        <w:rPr>
          <w:lang w:val="en-US"/>
        </w:rPr>
        <w:t>z</w:t>
      </w:r>
      <w:r>
        <w:rPr>
          <w:lang w:val="en-US"/>
        </w:rPr>
        <w:t xml:space="preserve">ations on the new capacity to be same as earlier, then </w:t>
      </w:r>
      <w:r w:rsidR="00DB2714">
        <w:rPr>
          <w:lang w:val="en-US"/>
        </w:rPr>
        <w:t>sales from liquor business</w:t>
      </w:r>
      <w:r w:rsidR="00AC58A2">
        <w:rPr>
          <w:lang w:val="en-US"/>
        </w:rPr>
        <w:t xml:space="preserve"> alone</w:t>
      </w:r>
      <w:r w:rsidR="00DB2714">
        <w:rPr>
          <w:lang w:val="en-US"/>
        </w:rPr>
        <w:t xml:space="preserve"> can be 1645 Cr within 2 to 4 years</w:t>
      </w:r>
      <w:r w:rsidR="0081197B">
        <w:rPr>
          <w:lang w:val="en-US"/>
        </w:rPr>
        <w:t xml:space="preserve"> (700/200*470).</w:t>
      </w:r>
      <w:r w:rsidR="00AC58A2">
        <w:rPr>
          <w:lang w:val="en-US"/>
        </w:rPr>
        <w:t xml:space="preserve"> TTM sales of entire company is 17</w:t>
      </w:r>
      <w:r w:rsidR="00DE49E5">
        <w:rPr>
          <w:lang w:val="en-US"/>
        </w:rPr>
        <w:t>4</w:t>
      </w:r>
      <w:r w:rsidR="00AC58A2">
        <w:rPr>
          <w:lang w:val="en-US"/>
        </w:rPr>
        <w:t>0 Cr.</w:t>
      </w:r>
    </w:p>
    <w:p w14:paraId="2D6B99A8" w14:textId="239D2B4D" w:rsidR="00AB5199" w:rsidRDefault="00885E34">
      <w:pPr>
        <w:rPr>
          <w:lang w:val="en-US"/>
        </w:rPr>
      </w:pPr>
      <w:r>
        <w:rPr>
          <w:lang w:val="en-US"/>
        </w:rPr>
        <w:t>Realizations in ethanol is around Rs 51.975 per litre:</w:t>
      </w:r>
    </w:p>
    <w:p w14:paraId="5F92FA0B" w14:textId="1EF3BD60" w:rsidR="00885E34" w:rsidRDefault="000D0CA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CB1529F" wp14:editId="09BB53A4">
            <wp:extent cx="3932261" cy="524301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2261" cy="524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DC5A" w14:textId="5DB7C106" w:rsidR="001E422E" w:rsidRDefault="00BE3146">
      <w:pPr>
        <w:rPr>
          <w:lang w:val="en-US"/>
        </w:rPr>
      </w:pPr>
      <w:r>
        <w:rPr>
          <w:lang w:val="en-US"/>
        </w:rPr>
        <w:t xml:space="preserve">Presently, they seem to be operating </w:t>
      </w:r>
      <w:r w:rsidR="00552D95">
        <w:rPr>
          <w:lang w:val="en-US"/>
        </w:rPr>
        <w:t>at full capacity utilization since present capacity is 200 KLPD</w:t>
      </w:r>
      <w:r w:rsidR="00E23756">
        <w:rPr>
          <w:lang w:val="en-US"/>
        </w:rPr>
        <w:t xml:space="preserve">. There are around 65 weekdays per quarter so 200*65=13000 KL in a quarter. Q2 FY22 was 11717+5807=17524 which means they are probably </w:t>
      </w:r>
      <w:r w:rsidR="00840904">
        <w:rPr>
          <w:lang w:val="en-US"/>
        </w:rPr>
        <w:t>working some weekends also</w:t>
      </w:r>
      <w:r w:rsidR="008B191B">
        <w:rPr>
          <w:lang w:val="en-US"/>
        </w:rPr>
        <w:t xml:space="preserve"> (e.g. alternate Saturdays)</w:t>
      </w:r>
      <w:r w:rsidR="00840904">
        <w:rPr>
          <w:lang w:val="en-US"/>
        </w:rPr>
        <w:t>.</w:t>
      </w:r>
    </w:p>
    <w:p w14:paraId="43C8860C" w14:textId="448AF540" w:rsidR="00B07098" w:rsidRDefault="00B07098">
      <w:pPr>
        <w:rPr>
          <w:lang w:val="en-US"/>
        </w:rPr>
      </w:pPr>
    </w:p>
    <w:p w14:paraId="7C5172FF" w14:textId="77777777" w:rsidR="00BC63BB" w:rsidRPr="00E21BC5" w:rsidRDefault="00BC63BB" w:rsidP="00BC63BB">
      <w:pPr>
        <w:rPr>
          <w:rFonts w:ascii="Arial" w:hAnsi="Arial" w:cs="Arial"/>
          <w:color w:val="606F7B"/>
          <w:spacing w:val="-3"/>
          <w:shd w:val="clear" w:color="auto" w:fill="FFFFFF"/>
        </w:rPr>
      </w:pP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Edible Oil: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 Soyabean refined oil, cottonseed refined oil, palm refined oil, mustard oil under the brands </w:t>
      </w: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HomeCook and Murli.</w:t>
      </w:r>
      <w:r w:rsidRPr="00E21BC5">
        <w:rPr>
          <w:rFonts w:ascii="Arial" w:hAnsi="Arial" w:cs="Arial"/>
          <w:color w:val="606F7B"/>
          <w:spacing w:val="-3"/>
        </w:rPr>
        <w:br/>
      </w: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Basmati Rice: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 Under the brands HomeCook, White Gold and Permal.</w:t>
      </w:r>
      <w:r w:rsidRPr="00E21BC5">
        <w:rPr>
          <w:rFonts w:ascii="Arial" w:hAnsi="Arial" w:cs="Arial"/>
          <w:color w:val="606F7B"/>
          <w:spacing w:val="-3"/>
        </w:rPr>
        <w:br/>
      </w:r>
      <w:r w:rsidRPr="00E21BC5">
        <w:rPr>
          <w:rStyle w:val="Strong"/>
          <w:rFonts w:ascii="Arial" w:hAnsi="Arial" w:cs="Arial"/>
          <w:b w:val="0"/>
          <w:bCs w:val="0"/>
          <w:color w:val="606F7B"/>
          <w:spacing w:val="-3"/>
          <w:shd w:val="clear" w:color="auto" w:fill="FFFFFF"/>
        </w:rPr>
        <w:t>Vanaspati Ghee:</w:t>
      </w:r>
      <w:r w:rsidRPr="00E21BC5">
        <w:rPr>
          <w:rFonts w:ascii="Arial" w:hAnsi="Arial" w:cs="Arial"/>
          <w:color w:val="606F7B"/>
          <w:spacing w:val="-3"/>
          <w:shd w:val="clear" w:color="auto" w:fill="FFFFFF"/>
        </w:rPr>
        <w:t> Under the brands HomeCook and DO Khajoor.</w:t>
      </w: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 The manufacturing plant is located in Bathinda, Punjab, with a capacity of processing 1,020 metric tonnes per day. Segment-wise, manufacturing capacity of 300 TPD for oilseed crushing and solvent extraction each, and a total refining capacity of 420 TPD.</w:t>
      </w:r>
    </w:p>
    <w:p w14:paraId="21EF81C0" w14:textId="77777777" w:rsidR="00BC63BB" w:rsidRDefault="00BC63BB">
      <w:pPr>
        <w:rPr>
          <w:lang w:val="en-US"/>
        </w:rPr>
      </w:pPr>
    </w:p>
    <w:p w14:paraId="578FAF89" w14:textId="043B6AEF" w:rsidR="00B07098" w:rsidRDefault="00B0709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B637A97" wp14:editId="6F7BDB55">
            <wp:extent cx="5731510" cy="8362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1F597" w14:textId="552AB89B" w:rsidR="004D2E5B" w:rsidRDefault="004D2E5B">
      <w:pPr>
        <w:rPr>
          <w:lang w:val="en-US"/>
        </w:rPr>
      </w:pPr>
      <w:r>
        <w:rPr>
          <w:noProof/>
        </w:rPr>
        <w:drawing>
          <wp:inline distT="0" distB="0" distL="0" distR="0" wp14:anchorId="62F8F0CB" wp14:editId="5744A3AD">
            <wp:extent cx="5731510" cy="140716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4C981" w14:textId="77777777" w:rsidR="00D11B4C" w:rsidRDefault="00D11B4C">
      <w:pPr>
        <w:rPr>
          <w:lang w:val="en-US"/>
        </w:rPr>
      </w:pPr>
    </w:p>
    <w:p w14:paraId="315D62A1" w14:textId="57ACF8E9" w:rsidR="00421697" w:rsidRDefault="00421697">
      <w:pPr>
        <w:rPr>
          <w:lang w:val="en-US"/>
        </w:rPr>
      </w:pPr>
      <w:r>
        <w:rPr>
          <w:lang w:val="en-US"/>
        </w:rPr>
        <w:t>Deleveraging is another trigger for the company:</w:t>
      </w:r>
    </w:p>
    <w:p w14:paraId="21D5E973" w14:textId="25645D2E" w:rsidR="00421697" w:rsidRDefault="00421697">
      <w:pPr>
        <w:rPr>
          <w:lang w:val="en-US"/>
        </w:rPr>
      </w:pPr>
      <w:r>
        <w:rPr>
          <w:noProof/>
        </w:rPr>
        <w:drawing>
          <wp:inline distT="0" distB="0" distL="0" distR="0" wp14:anchorId="5C51CB78" wp14:editId="1CC807F2">
            <wp:extent cx="5731510" cy="13322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7DF6" w14:textId="5A0815FA" w:rsidR="006D7A7B" w:rsidRPr="00E21BC5" w:rsidRDefault="006D7A7B">
      <w:pPr>
        <w:rPr>
          <w:lang w:val="en-US"/>
        </w:rPr>
      </w:pPr>
      <w:r>
        <w:rPr>
          <w:noProof/>
        </w:rPr>
        <w:drawing>
          <wp:inline distT="0" distB="0" distL="0" distR="0" wp14:anchorId="033FFFAD" wp14:editId="3E5362F8">
            <wp:extent cx="5731510" cy="3587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A7B" w:rsidRPr="00E21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14"/>
    <w:rsid w:val="000D0CA8"/>
    <w:rsid w:val="000F32C3"/>
    <w:rsid w:val="001D2EDE"/>
    <w:rsid w:val="001E422E"/>
    <w:rsid w:val="002F11E4"/>
    <w:rsid w:val="002F5112"/>
    <w:rsid w:val="00391EAE"/>
    <w:rsid w:val="00421697"/>
    <w:rsid w:val="00496050"/>
    <w:rsid w:val="004D2E5B"/>
    <w:rsid w:val="0052259B"/>
    <w:rsid w:val="00525A16"/>
    <w:rsid w:val="00552D95"/>
    <w:rsid w:val="005A621E"/>
    <w:rsid w:val="006D7A7B"/>
    <w:rsid w:val="006F2878"/>
    <w:rsid w:val="00770714"/>
    <w:rsid w:val="0081197B"/>
    <w:rsid w:val="00840904"/>
    <w:rsid w:val="00885E34"/>
    <w:rsid w:val="008B191B"/>
    <w:rsid w:val="00970667"/>
    <w:rsid w:val="00AA6196"/>
    <w:rsid w:val="00AB5199"/>
    <w:rsid w:val="00AC58A2"/>
    <w:rsid w:val="00B07098"/>
    <w:rsid w:val="00B32B16"/>
    <w:rsid w:val="00BB1632"/>
    <w:rsid w:val="00BC63BB"/>
    <w:rsid w:val="00BE3146"/>
    <w:rsid w:val="00C05B38"/>
    <w:rsid w:val="00C37E0D"/>
    <w:rsid w:val="00D11B4C"/>
    <w:rsid w:val="00DB2714"/>
    <w:rsid w:val="00DE49E5"/>
    <w:rsid w:val="00E21BC5"/>
    <w:rsid w:val="00E23756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0AE4"/>
  <w15:chartTrackingRefBased/>
  <w15:docId w15:val="{4D6CCA15-E908-413D-8FE2-A6F64DE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35</cp:revision>
  <dcterms:created xsi:type="dcterms:W3CDTF">2022-01-17T09:48:00Z</dcterms:created>
  <dcterms:modified xsi:type="dcterms:W3CDTF">2022-01-17T10:25:00Z</dcterms:modified>
</cp:coreProperties>
</file>