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9F9BF" w14:textId="77777777" w:rsidR="004733A6" w:rsidRDefault="00C547BC" w:rsidP="00C547BC">
      <w:pPr>
        <w:jc w:val="center"/>
        <w:rPr>
          <w:b/>
          <w:u w:val="single"/>
        </w:rPr>
      </w:pPr>
      <w:proofErr w:type="spellStart"/>
      <w:r w:rsidRPr="00C547BC">
        <w:rPr>
          <w:b/>
          <w:u w:val="single"/>
        </w:rPr>
        <w:t>Maithan</w:t>
      </w:r>
      <w:proofErr w:type="spellEnd"/>
      <w:r w:rsidRPr="00C547BC">
        <w:rPr>
          <w:b/>
          <w:u w:val="single"/>
        </w:rPr>
        <w:t xml:space="preserve"> Alloys Ltd.</w:t>
      </w:r>
    </w:p>
    <w:p w14:paraId="3F827DCF" w14:textId="1D53A717" w:rsidR="00DB6A3C" w:rsidRPr="00A53636" w:rsidRDefault="00DB6A3C" w:rsidP="00DB6A3C">
      <w:pPr>
        <w:rPr>
          <w:b/>
          <w:bCs/>
        </w:rPr>
      </w:pPr>
      <w:r w:rsidRPr="00A53636">
        <w:rPr>
          <w:b/>
          <w:bCs/>
        </w:rPr>
        <w:t xml:space="preserve">Industry </w:t>
      </w:r>
      <w:r w:rsidR="00ED1992" w:rsidRPr="00A53636">
        <w:rPr>
          <w:b/>
          <w:bCs/>
        </w:rPr>
        <w:t>Analysis</w:t>
      </w:r>
      <w:r w:rsidRPr="00A53636">
        <w:rPr>
          <w:b/>
          <w:bCs/>
        </w:rPr>
        <w:t>:</w:t>
      </w:r>
    </w:p>
    <w:p w14:paraId="57C3E724" w14:textId="3DD30836" w:rsidR="00E23B05" w:rsidRDefault="00E23B05" w:rsidP="00ED1992">
      <w:pPr>
        <w:pStyle w:val="ListParagraph"/>
        <w:numPr>
          <w:ilvl w:val="0"/>
          <w:numId w:val="5"/>
        </w:numPr>
      </w:pPr>
      <w:r>
        <w:t>Product Analysis:</w:t>
      </w:r>
    </w:p>
    <w:p w14:paraId="63EEE13F" w14:textId="16D78E4F" w:rsidR="00E23B05" w:rsidRPr="007C6D34" w:rsidRDefault="007C6D34" w:rsidP="007C6D34">
      <w:pPr>
        <w:pStyle w:val="ListParagraph"/>
        <w:numPr>
          <w:ilvl w:val="1"/>
          <w:numId w:val="5"/>
        </w:numPr>
      </w:pPr>
      <w:r w:rsidRPr="007C6D34">
        <w:t xml:space="preserve">Based on product, ferroalloy market is categorized into ferro chrome, ferro manganese, ferro silicon, ferro silicon-manganese and others. Among these ferro manganese shows a decent annual growth rate of about 6% over the forecast time spell. These are used in the production of steel as a </w:t>
      </w:r>
      <w:proofErr w:type="gramStart"/>
      <w:r w:rsidRPr="007C6D34">
        <w:t>desulfurizing agents</w:t>
      </w:r>
      <w:proofErr w:type="gramEnd"/>
      <w:r w:rsidRPr="007C6D34">
        <w:t>. The product removes nitrogen bubbles and reduces the amount of iron oxide, which is undesirable during production of steel. It also acts as an alloying element contributor in various types of steels.</w:t>
      </w:r>
    </w:p>
    <w:p w14:paraId="61FB7F30" w14:textId="6A9B02B6" w:rsidR="00ED1992" w:rsidRDefault="00ED1992" w:rsidP="00ED1992">
      <w:pPr>
        <w:pStyle w:val="ListParagraph"/>
        <w:numPr>
          <w:ilvl w:val="0"/>
          <w:numId w:val="5"/>
        </w:numPr>
      </w:pPr>
      <w:r>
        <w:t>Commodity</w:t>
      </w:r>
    </w:p>
    <w:p w14:paraId="0008530C" w14:textId="1CF814D6" w:rsidR="00ED1992" w:rsidRDefault="00ED1992" w:rsidP="00ED1992">
      <w:pPr>
        <w:pStyle w:val="ListParagraph"/>
        <w:numPr>
          <w:ilvl w:val="0"/>
          <w:numId w:val="5"/>
        </w:numPr>
      </w:pPr>
      <w:r>
        <w:t>Extremely scattered</w:t>
      </w:r>
      <w:r w:rsidR="008B2D24">
        <w:t xml:space="preserve"> with </w:t>
      </w:r>
      <w:proofErr w:type="spellStart"/>
      <w:proofErr w:type="gramStart"/>
      <w:r w:rsidR="008B2D24">
        <w:t>a</w:t>
      </w:r>
      <w:proofErr w:type="spellEnd"/>
      <w:r w:rsidR="008B2D24">
        <w:t xml:space="preserve"> large number of</w:t>
      </w:r>
      <w:proofErr w:type="gramEnd"/>
      <w:r w:rsidR="008B2D24">
        <w:t xml:space="preserve"> market participants</w:t>
      </w:r>
    </w:p>
    <w:p w14:paraId="0D8FB599" w14:textId="41E7490F" w:rsidR="00C8603F" w:rsidRDefault="00C8603F" w:rsidP="00ED1992">
      <w:pPr>
        <w:pStyle w:val="ListParagraph"/>
        <w:numPr>
          <w:ilvl w:val="0"/>
          <w:numId w:val="5"/>
        </w:numPr>
      </w:pPr>
      <w:r w:rsidRPr="00ED1992">
        <w:t>Extremely limited Pricing Power</w:t>
      </w:r>
      <w:r>
        <w:t xml:space="preserve"> due to purchasing power of big steel plants</w:t>
      </w:r>
    </w:p>
    <w:p w14:paraId="619C1142" w14:textId="5B3A54FD" w:rsidR="00537B76" w:rsidRDefault="00537B76" w:rsidP="00537B76">
      <w:pPr>
        <w:pStyle w:val="ListParagraph"/>
        <w:numPr>
          <w:ilvl w:val="0"/>
          <w:numId w:val="5"/>
        </w:numPr>
      </w:pPr>
      <w:r>
        <w:t xml:space="preserve">Domestic Supply &gt; Domestic </w:t>
      </w:r>
      <w:proofErr w:type="gramStart"/>
      <w:r>
        <w:t>Demand(</w:t>
      </w:r>
      <w:proofErr w:type="gramEnd"/>
      <w:r>
        <w:t xml:space="preserve">Over-production): </w:t>
      </w:r>
      <w:r w:rsidRPr="00CB61FF">
        <w:t>With an annual production capacity of 5.15 mt, the ferro-alloy industry is battling a slowdown for last five years and the production of</w:t>
      </w:r>
      <w:r>
        <w:t>:</w:t>
      </w:r>
    </w:p>
    <w:p w14:paraId="3B4EFD8C" w14:textId="77777777" w:rsidR="00537B76" w:rsidRDefault="00537B76" w:rsidP="00537B76">
      <w:pPr>
        <w:pStyle w:val="ListParagraph"/>
        <w:numPr>
          <w:ilvl w:val="1"/>
          <w:numId w:val="5"/>
        </w:numPr>
      </w:pPr>
      <w:proofErr w:type="gramStart"/>
      <w:r>
        <w:t>F</w:t>
      </w:r>
      <w:r w:rsidRPr="00CB61FF">
        <w:t>erro-</w:t>
      </w:r>
      <w:r>
        <w:t>C</w:t>
      </w:r>
      <w:r w:rsidRPr="00CB61FF">
        <w:t>hrome</w:t>
      </w:r>
      <w:proofErr w:type="gramEnd"/>
      <w:r w:rsidRPr="00CB61FF">
        <w:t xml:space="preserve"> has stagnated at </w:t>
      </w:r>
      <w:r>
        <w:t>1</w:t>
      </w:r>
      <w:r w:rsidRPr="00CB61FF">
        <w:t xml:space="preserve"> mt</w:t>
      </w:r>
    </w:p>
    <w:p w14:paraId="6061C544" w14:textId="77777777" w:rsidR="00537B76" w:rsidRDefault="00537B76" w:rsidP="00537B76">
      <w:pPr>
        <w:pStyle w:val="ListParagraph"/>
        <w:numPr>
          <w:ilvl w:val="1"/>
          <w:numId w:val="5"/>
        </w:numPr>
      </w:pPr>
      <w:proofErr w:type="gramStart"/>
      <w:r>
        <w:t>F</w:t>
      </w:r>
      <w:r w:rsidRPr="00CB61FF">
        <w:t>erro-</w:t>
      </w:r>
      <w:r>
        <w:t>M</w:t>
      </w:r>
      <w:r w:rsidRPr="00CB61FF">
        <w:t>anganese</w:t>
      </w:r>
      <w:proofErr w:type="gramEnd"/>
      <w:r w:rsidRPr="00CB61FF">
        <w:t xml:space="preserve"> at 0.52 mt </w:t>
      </w:r>
    </w:p>
    <w:p w14:paraId="21D9A0A4" w14:textId="67DB6651" w:rsidR="00537B76" w:rsidRDefault="00537B76" w:rsidP="00537B76">
      <w:pPr>
        <w:pStyle w:val="ListParagraph"/>
        <w:numPr>
          <w:ilvl w:val="1"/>
          <w:numId w:val="5"/>
        </w:numPr>
      </w:pPr>
      <w:proofErr w:type="gramStart"/>
      <w:r>
        <w:t>F</w:t>
      </w:r>
      <w:r w:rsidRPr="00CB61FF">
        <w:t>erro-</w:t>
      </w:r>
      <w:r>
        <w:t>S</w:t>
      </w:r>
      <w:r w:rsidRPr="00CB61FF">
        <w:t>ilicon</w:t>
      </w:r>
      <w:proofErr w:type="gramEnd"/>
      <w:r w:rsidRPr="00CB61FF">
        <w:t xml:space="preserve"> at 0.09 mt</w:t>
      </w:r>
    </w:p>
    <w:p w14:paraId="66F12DA8" w14:textId="3A25A44E" w:rsidR="00537B76" w:rsidRPr="00537B76" w:rsidRDefault="00537B76" w:rsidP="006741E1">
      <w:pPr>
        <w:pStyle w:val="ListParagraph"/>
        <w:numPr>
          <w:ilvl w:val="2"/>
          <w:numId w:val="5"/>
        </w:numPr>
        <w:rPr>
          <w:i/>
          <w:iCs/>
        </w:rPr>
      </w:pPr>
      <w:r w:rsidRPr="00537B76">
        <w:rPr>
          <w:i/>
          <w:iCs/>
        </w:rPr>
        <w:t xml:space="preserve">Dated </w:t>
      </w:r>
      <w:proofErr w:type="gramStart"/>
      <w:r w:rsidRPr="00537B76">
        <w:rPr>
          <w:i/>
          <w:iCs/>
        </w:rPr>
        <w:t>info(</w:t>
      </w:r>
      <w:proofErr w:type="gramEnd"/>
      <w:r w:rsidRPr="00537B76">
        <w:rPr>
          <w:i/>
          <w:iCs/>
        </w:rPr>
        <w:t>2013)</w:t>
      </w:r>
    </w:p>
    <w:p w14:paraId="60EA9539" w14:textId="02A5215A" w:rsidR="00C8603F" w:rsidRDefault="00903EAA" w:rsidP="00ED1992">
      <w:pPr>
        <w:pStyle w:val="ListParagraph"/>
        <w:numPr>
          <w:ilvl w:val="0"/>
          <w:numId w:val="5"/>
        </w:numPr>
      </w:pPr>
      <w:r>
        <w:t>Porter’s Industry Dynamics:</w:t>
      </w:r>
    </w:p>
    <w:p w14:paraId="13FD327E" w14:textId="3A855091" w:rsidR="00903EAA" w:rsidRDefault="00903EAA" w:rsidP="00903EAA">
      <w:pPr>
        <w:pStyle w:val="ListParagraph"/>
        <w:numPr>
          <w:ilvl w:val="1"/>
          <w:numId w:val="5"/>
        </w:numPr>
      </w:pPr>
      <w:r>
        <w:t>Buyer Power: High</w:t>
      </w:r>
    </w:p>
    <w:p w14:paraId="294F141F" w14:textId="52224C29" w:rsidR="00903EAA" w:rsidRDefault="00903EAA" w:rsidP="00903EAA">
      <w:pPr>
        <w:pStyle w:val="ListParagraph"/>
        <w:numPr>
          <w:ilvl w:val="1"/>
          <w:numId w:val="5"/>
        </w:numPr>
      </w:pPr>
      <w:r>
        <w:t>Supplier Power: Medium</w:t>
      </w:r>
    </w:p>
    <w:p w14:paraId="08D09498" w14:textId="52758094" w:rsidR="00903EAA" w:rsidRDefault="00903EAA" w:rsidP="00903EAA">
      <w:pPr>
        <w:pStyle w:val="ListParagraph"/>
        <w:numPr>
          <w:ilvl w:val="1"/>
          <w:numId w:val="5"/>
        </w:numPr>
      </w:pPr>
      <w:r>
        <w:t>Competitive Rivalry: High</w:t>
      </w:r>
    </w:p>
    <w:p w14:paraId="00D287FC" w14:textId="1AC1086E" w:rsidR="003D5AE2" w:rsidRDefault="003D5AE2" w:rsidP="00903EAA">
      <w:pPr>
        <w:pStyle w:val="ListParagraph"/>
        <w:numPr>
          <w:ilvl w:val="1"/>
          <w:numId w:val="5"/>
        </w:numPr>
      </w:pPr>
      <w:r>
        <w:t>Threat of substitutes: Low</w:t>
      </w:r>
    </w:p>
    <w:p w14:paraId="7A6D3003" w14:textId="0D0220A6" w:rsidR="00D15E15" w:rsidRDefault="00D15E15" w:rsidP="00903EAA">
      <w:pPr>
        <w:pStyle w:val="ListParagraph"/>
        <w:numPr>
          <w:ilvl w:val="1"/>
          <w:numId w:val="5"/>
        </w:numPr>
      </w:pPr>
      <w:r>
        <w:t>Threat of Entry: Low</w:t>
      </w:r>
    </w:p>
    <w:p w14:paraId="4259C147" w14:textId="680B2A27" w:rsidR="00AC5273" w:rsidRDefault="00AC5273" w:rsidP="00AC5273">
      <w:pPr>
        <w:pStyle w:val="ListParagraph"/>
        <w:numPr>
          <w:ilvl w:val="0"/>
          <w:numId w:val="5"/>
        </w:numPr>
      </w:pPr>
      <w:r>
        <w:t>Growth Estimates:</w:t>
      </w:r>
    </w:p>
    <w:p w14:paraId="62D3661F" w14:textId="1ED573AB" w:rsidR="00AC5273" w:rsidRDefault="00AC5273" w:rsidP="00CD6667">
      <w:pPr>
        <w:pStyle w:val="ListParagraph"/>
        <w:numPr>
          <w:ilvl w:val="1"/>
          <w:numId w:val="5"/>
        </w:numPr>
      </w:pPr>
      <w:r>
        <w:t xml:space="preserve">Domestic: </w:t>
      </w:r>
      <w:r w:rsidRPr="005D50A6">
        <w:t xml:space="preserve">National Steel Policy envisaging to take domestic steel production of about 300 million </w:t>
      </w:r>
      <w:proofErr w:type="spellStart"/>
      <w:r w:rsidRPr="005D50A6">
        <w:t>tonnes</w:t>
      </w:r>
      <w:proofErr w:type="spellEnd"/>
      <w:r w:rsidRPr="005D50A6">
        <w:t xml:space="preserve"> by the end of the year 2030 as against production of about 1</w:t>
      </w:r>
      <w:r>
        <w:t>06.5</w:t>
      </w:r>
      <w:r w:rsidRPr="005D50A6">
        <w:t xml:space="preserve"> million </w:t>
      </w:r>
      <w:proofErr w:type="spellStart"/>
      <w:r w:rsidRPr="005D50A6">
        <w:t>tonne</w:t>
      </w:r>
      <w:proofErr w:type="spellEnd"/>
      <w:r>
        <w:t xml:space="preserve"> in FY19</w:t>
      </w:r>
      <w:r w:rsidRPr="005D50A6">
        <w:t>.</w:t>
      </w:r>
      <w:r>
        <w:t xml:space="preserve"> This translates to an overall growth rate of 9% annually. Assuming a 1:1 ratio between Steel &amp; Manganese ore demand</w:t>
      </w:r>
    </w:p>
    <w:p w14:paraId="7DC32E4D" w14:textId="54C20422" w:rsidR="00AC5273" w:rsidRDefault="00AC5273" w:rsidP="00CD6667">
      <w:pPr>
        <w:pStyle w:val="ListParagraph"/>
        <w:numPr>
          <w:ilvl w:val="1"/>
          <w:numId w:val="5"/>
        </w:numPr>
      </w:pPr>
      <w:r>
        <w:t xml:space="preserve">International: </w:t>
      </w:r>
      <w:r w:rsidR="00CC2FCA" w:rsidRPr="00426D44">
        <w:t xml:space="preserve">CAGR of more than 5.5% </w:t>
      </w:r>
      <w:r w:rsidR="00CC2FCA">
        <w:t xml:space="preserve">globally </w:t>
      </w:r>
      <w:r w:rsidR="00CC2FCA" w:rsidRPr="00426D44">
        <w:t>up to 2025</w:t>
      </w:r>
    </w:p>
    <w:p w14:paraId="4FCC90C0" w14:textId="7393A263" w:rsidR="009F2652" w:rsidRDefault="009F2652" w:rsidP="00ED1992">
      <w:pPr>
        <w:pStyle w:val="ListParagraph"/>
        <w:numPr>
          <w:ilvl w:val="0"/>
          <w:numId w:val="5"/>
        </w:numPr>
      </w:pPr>
      <w:r>
        <w:t>Chinese market remained the primary driver behind manganese demand</w:t>
      </w:r>
      <w:r>
        <w:t xml:space="preserve"> – this might have a negative impact on </w:t>
      </w:r>
      <w:proofErr w:type="spellStart"/>
      <w:r>
        <w:t>Maithan’s</w:t>
      </w:r>
      <w:proofErr w:type="spellEnd"/>
      <w:r>
        <w:t xml:space="preserve"> share price due to Corona virus outbreak</w:t>
      </w:r>
    </w:p>
    <w:p w14:paraId="6384D4C6" w14:textId="0547DCFF" w:rsidR="004D0152" w:rsidRDefault="001B0009" w:rsidP="004D0152">
      <w:pPr>
        <w:pStyle w:val="ListParagraph"/>
        <w:numPr>
          <w:ilvl w:val="0"/>
          <w:numId w:val="5"/>
        </w:numPr>
      </w:pPr>
      <w:r>
        <w:t>R</w:t>
      </w:r>
      <w:r w:rsidRPr="004D0152">
        <w:t>aw materials for bulk ferro alloys</w:t>
      </w:r>
      <w:r>
        <w:t>:</w:t>
      </w:r>
    </w:p>
    <w:p w14:paraId="79E396BA" w14:textId="6493AC24" w:rsidR="004D0152" w:rsidRPr="000C6937" w:rsidRDefault="001B0009" w:rsidP="004D0152">
      <w:pPr>
        <w:pStyle w:val="ListParagraph"/>
        <w:numPr>
          <w:ilvl w:val="1"/>
          <w:numId w:val="5"/>
        </w:numPr>
        <w:rPr>
          <w:u w:val="single"/>
        </w:rPr>
      </w:pPr>
      <w:r>
        <w:t>Manganese ore</w:t>
      </w:r>
    </w:p>
    <w:p w14:paraId="2B1A65DE" w14:textId="7D95308C" w:rsidR="004D0152" w:rsidRPr="000C6937" w:rsidRDefault="001B0009" w:rsidP="004D0152">
      <w:pPr>
        <w:pStyle w:val="ListParagraph"/>
        <w:numPr>
          <w:ilvl w:val="1"/>
          <w:numId w:val="5"/>
        </w:numPr>
        <w:rPr>
          <w:u w:val="single"/>
        </w:rPr>
      </w:pPr>
      <w:r>
        <w:t>Chrome Ore</w:t>
      </w:r>
    </w:p>
    <w:p w14:paraId="2EC2B8B6" w14:textId="0EF74540" w:rsidR="004D0152" w:rsidRPr="000C6937" w:rsidRDefault="001B0009" w:rsidP="004D0152">
      <w:pPr>
        <w:pStyle w:val="ListParagraph"/>
        <w:numPr>
          <w:ilvl w:val="1"/>
          <w:numId w:val="5"/>
        </w:numPr>
        <w:rPr>
          <w:u w:val="single"/>
        </w:rPr>
      </w:pPr>
      <w:r>
        <w:t>Reductants</w:t>
      </w:r>
    </w:p>
    <w:p w14:paraId="7F34E765" w14:textId="0D253FC9" w:rsidR="004D0152" w:rsidRPr="000C6937" w:rsidRDefault="001B0009" w:rsidP="004D0152">
      <w:pPr>
        <w:pStyle w:val="ListParagraph"/>
        <w:numPr>
          <w:ilvl w:val="1"/>
          <w:numId w:val="5"/>
        </w:numPr>
        <w:rPr>
          <w:u w:val="single"/>
        </w:rPr>
      </w:pPr>
      <w:r>
        <w:t>Power</w:t>
      </w:r>
    </w:p>
    <w:p w14:paraId="2B9E0042" w14:textId="27C0F921" w:rsidR="004D0152" w:rsidRPr="000567F1" w:rsidRDefault="001B0009" w:rsidP="004D0152">
      <w:pPr>
        <w:pStyle w:val="ListParagraph"/>
        <w:numPr>
          <w:ilvl w:val="1"/>
          <w:numId w:val="5"/>
        </w:numPr>
        <w:rPr>
          <w:u w:val="single"/>
        </w:rPr>
      </w:pPr>
      <w:r>
        <w:t>Logistics</w:t>
      </w:r>
    </w:p>
    <w:p w14:paraId="2CAE78F5" w14:textId="51834333" w:rsidR="008C34EF" w:rsidRDefault="00CA12FB" w:rsidP="008C34EF">
      <w:pPr>
        <w:pStyle w:val="ListParagraph"/>
        <w:numPr>
          <w:ilvl w:val="0"/>
          <w:numId w:val="5"/>
        </w:numPr>
      </w:pPr>
      <w:r>
        <w:t>M</w:t>
      </w:r>
      <w:r w:rsidR="008C34EF">
        <w:t>ajor cost contributors:</w:t>
      </w:r>
    </w:p>
    <w:p w14:paraId="3C631091" w14:textId="6BD65409" w:rsidR="008C34EF" w:rsidRDefault="008C34EF" w:rsidP="008C34EF">
      <w:pPr>
        <w:pStyle w:val="ListParagraph"/>
        <w:numPr>
          <w:ilvl w:val="1"/>
          <w:numId w:val="5"/>
        </w:numPr>
      </w:pPr>
      <w:r>
        <w:t>Raw Material prices</w:t>
      </w:r>
      <w:r>
        <w:t xml:space="preserve"> </w:t>
      </w:r>
    </w:p>
    <w:p w14:paraId="1862DDC6" w14:textId="2F46C7E6" w:rsidR="008C34EF" w:rsidRDefault="008C34EF" w:rsidP="008C34EF">
      <w:pPr>
        <w:pStyle w:val="ListParagraph"/>
        <w:numPr>
          <w:ilvl w:val="2"/>
          <w:numId w:val="5"/>
        </w:numPr>
      </w:pPr>
      <w:proofErr w:type="spellStart"/>
      <w:r>
        <w:t>Maithan</w:t>
      </w:r>
      <w:proofErr w:type="spellEnd"/>
      <w:r>
        <w:t xml:space="preserve"> imports 90% of ore from outside India and 10% domestically</w:t>
      </w:r>
    </w:p>
    <w:p w14:paraId="496F9A25" w14:textId="0FF21B1E" w:rsidR="009F5013" w:rsidRDefault="009F5013" w:rsidP="008C34EF">
      <w:pPr>
        <w:pStyle w:val="ListParagraph"/>
        <w:numPr>
          <w:ilvl w:val="2"/>
          <w:numId w:val="5"/>
        </w:numPr>
      </w:pPr>
      <w:r>
        <w:t>However, t</w:t>
      </w:r>
      <w:r>
        <w:t>he Company sources raw material when it gets sales contracts, helping optimi</w:t>
      </w:r>
      <w:r>
        <w:t>z</w:t>
      </w:r>
      <w:r>
        <w:t>e inventory costs.</w:t>
      </w:r>
      <w:r>
        <w:t xml:space="preserve"> </w:t>
      </w:r>
    </w:p>
    <w:p w14:paraId="56070292" w14:textId="74B59ABF" w:rsidR="00C7441E" w:rsidRDefault="003F6088" w:rsidP="008C34EF">
      <w:pPr>
        <w:pStyle w:val="ListParagraph"/>
        <w:numPr>
          <w:ilvl w:val="2"/>
          <w:numId w:val="5"/>
        </w:numPr>
      </w:pPr>
      <w:r>
        <w:lastRenderedPageBreak/>
        <w:t xml:space="preserve">It has a captive mining lease in India through Anjaneya </w:t>
      </w:r>
      <w:proofErr w:type="gramStart"/>
      <w:r>
        <w:t>Minerals(</w:t>
      </w:r>
      <w:proofErr w:type="gramEnd"/>
      <w:r>
        <w:t>a subsidiary)</w:t>
      </w:r>
    </w:p>
    <w:p w14:paraId="6EE8A627" w14:textId="77777777" w:rsidR="00A010A9" w:rsidRDefault="008C34EF" w:rsidP="008C34EF">
      <w:pPr>
        <w:pStyle w:val="ListParagraph"/>
        <w:numPr>
          <w:ilvl w:val="1"/>
          <w:numId w:val="5"/>
        </w:numPr>
      </w:pPr>
      <w:r>
        <w:t xml:space="preserve">Power &amp; Fuel charges </w:t>
      </w:r>
    </w:p>
    <w:p w14:paraId="478F1EEE" w14:textId="77777777" w:rsidR="00D101B2" w:rsidRDefault="008C34EF" w:rsidP="00A010A9">
      <w:pPr>
        <w:pStyle w:val="ListParagraph"/>
        <w:numPr>
          <w:ilvl w:val="2"/>
          <w:numId w:val="5"/>
        </w:numPr>
      </w:pPr>
      <w:r w:rsidRPr="00A010A9">
        <w:rPr>
          <w:color w:val="000000" w:themeColor="text1"/>
        </w:rPr>
        <w:t xml:space="preserve">Advantage may be due to owning </w:t>
      </w:r>
      <w:r w:rsidR="00A010A9" w:rsidRPr="00A010A9">
        <w:rPr>
          <w:color w:val="000000" w:themeColor="text1"/>
        </w:rPr>
        <w:t xml:space="preserve">captive </w:t>
      </w:r>
      <w:r w:rsidRPr="00A010A9">
        <w:rPr>
          <w:color w:val="000000" w:themeColor="text1"/>
        </w:rPr>
        <w:t xml:space="preserve">power </w:t>
      </w:r>
      <w:proofErr w:type="gramStart"/>
      <w:r w:rsidRPr="00A010A9">
        <w:rPr>
          <w:color w:val="000000" w:themeColor="text1"/>
        </w:rPr>
        <w:t>plants(</w:t>
      </w:r>
      <w:proofErr w:type="gramEnd"/>
      <w:r w:rsidRPr="00A010A9">
        <w:rPr>
          <w:color w:val="000000" w:themeColor="text1"/>
        </w:rPr>
        <w:t>long term advantage) and Power subsidies</w:t>
      </w:r>
      <w:r w:rsidR="00A010A9" w:rsidRPr="00A010A9">
        <w:rPr>
          <w:color w:val="000000" w:themeColor="text1"/>
        </w:rPr>
        <w:t xml:space="preserve"> from state Govts.</w:t>
      </w:r>
      <w:r w:rsidRPr="00A010A9">
        <w:rPr>
          <w:color w:val="000000" w:themeColor="text1"/>
        </w:rPr>
        <w:t>(short term advantage)</w:t>
      </w:r>
    </w:p>
    <w:p w14:paraId="3F7F620B" w14:textId="04F88C9A" w:rsidR="008C34EF" w:rsidRPr="00E62EB8" w:rsidRDefault="00D101B2" w:rsidP="00D101B2">
      <w:pPr>
        <w:pStyle w:val="ListParagraph"/>
        <w:numPr>
          <w:ilvl w:val="1"/>
          <w:numId w:val="5"/>
        </w:numPr>
      </w:pPr>
      <w:r>
        <w:t>Logistics</w:t>
      </w:r>
      <w:r w:rsidR="008C34EF" w:rsidRPr="00D101B2">
        <w:t xml:space="preserve"> </w:t>
      </w:r>
    </w:p>
    <w:p w14:paraId="22FE544C" w14:textId="18C177B6" w:rsidR="007F491C" w:rsidRDefault="00EC5D34" w:rsidP="00454441">
      <w:pPr>
        <w:pStyle w:val="ListParagraph"/>
        <w:numPr>
          <w:ilvl w:val="0"/>
          <w:numId w:val="5"/>
        </w:numPr>
      </w:pPr>
      <w:r>
        <w:t xml:space="preserve">Possibility of </w:t>
      </w:r>
      <w:r w:rsidRPr="00CB0ED7">
        <w:t>a huge shortage of key raw materials as seven operating manganese mines and four working chromite mines will shut operation</w:t>
      </w:r>
      <w:r>
        <w:t>s shortly – profit margin reduction due to rising raw material prices</w:t>
      </w:r>
      <w:r w:rsidR="007F491C">
        <w:t xml:space="preserve">. The </w:t>
      </w:r>
      <w:r w:rsidR="007F491C">
        <w:t xml:space="preserve">main concern would be the availability of Coal, Coke and </w:t>
      </w:r>
      <w:proofErr w:type="gramStart"/>
      <w:r w:rsidR="007F491C">
        <w:t>high grade</w:t>
      </w:r>
      <w:proofErr w:type="gramEnd"/>
      <w:r w:rsidR="007F491C">
        <w:t xml:space="preserve"> Manganese Ore and Chrome Ore. The Industry </w:t>
      </w:r>
      <w:proofErr w:type="gramStart"/>
      <w:r w:rsidR="007F491C">
        <w:t>has</w:t>
      </w:r>
      <w:r w:rsidR="00472B09">
        <w:t xml:space="preserve"> </w:t>
      </w:r>
      <w:r w:rsidR="007F491C">
        <w:t>to</w:t>
      </w:r>
      <w:proofErr w:type="gramEnd"/>
      <w:r w:rsidR="007F491C">
        <w:t xml:space="preserve"> depend for high grade 17 Manganese Ores on imports.</w:t>
      </w:r>
    </w:p>
    <w:p w14:paraId="43D5E70A" w14:textId="3A63E194" w:rsidR="000C20A5" w:rsidRDefault="000C20A5" w:rsidP="000C20A5">
      <w:pPr>
        <w:pStyle w:val="ListParagraph"/>
        <w:numPr>
          <w:ilvl w:val="0"/>
          <w:numId w:val="5"/>
        </w:numPr>
      </w:pPr>
      <w:r>
        <w:t>T</w:t>
      </w:r>
      <w:r w:rsidRPr="00367ABC">
        <w:t xml:space="preserve">he ferro alloy industry in India </w:t>
      </w:r>
      <w:r w:rsidR="00FC59B5">
        <w:t xml:space="preserve">has never been globally competitive, despite its rich ore deposits and low-cost manpower, essentially due </w:t>
      </w:r>
      <w:r w:rsidR="00FC59B5">
        <w:t>to</w:t>
      </w:r>
      <w:r>
        <w:t>:</w:t>
      </w:r>
    </w:p>
    <w:p w14:paraId="000D3C3C" w14:textId="2EB96680" w:rsidR="000C20A5" w:rsidRDefault="000C20A5" w:rsidP="000C20A5">
      <w:pPr>
        <w:pStyle w:val="ListParagraph"/>
        <w:numPr>
          <w:ilvl w:val="1"/>
          <w:numId w:val="5"/>
        </w:numPr>
      </w:pPr>
      <w:r>
        <w:t>S</w:t>
      </w:r>
      <w:r w:rsidRPr="00367ABC">
        <w:t xml:space="preserve">tagnating steel demand and production in the country </w:t>
      </w:r>
    </w:p>
    <w:p w14:paraId="16CC75DC" w14:textId="3BBA20E2" w:rsidR="000C20A5" w:rsidRDefault="000C20A5" w:rsidP="000C20A5">
      <w:pPr>
        <w:pStyle w:val="ListParagraph"/>
        <w:numPr>
          <w:ilvl w:val="1"/>
          <w:numId w:val="5"/>
        </w:numPr>
      </w:pPr>
      <w:r>
        <w:t>H</w:t>
      </w:r>
      <w:r w:rsidRPr="00367ABC">
        <w:t xml:space="preserve">igh </w:t>
      </w:r>
      <w:r>
        <w:t>P</w:t>
      </w:r>
      <w:r w:rsidRPr="00367ABC">
        <w:t xml:space="preserve">ower costs </w:t>
      </w:r>
    </w:p>
    <w:p w14:paraId="6E8C5CCF" w14:textId="04072A55" w:rsidR="00FC59B5" w:rsidRDefault="00FC59B5" w:rsidP="000C20A5">
      <w:pPr>
        <w:pStyle w:val="ListParagraph"/>
        <w:numPr>
          <w:ilvl w:val="1"/>
          <w:numId w:val="5"/>
        </w:numPr>
      </w:pPr>
      <w:r>
        <w:t>Increasing ores and reductants cost</w:t>
      </w:r>
    </w:p>
    <w:p w14:paraId="21EFA83E" w14:textId="4806FD10" w:rsidR="00FC59B5" w:rsidRDefault="00FC59B5" w:rsidP="000C20A5">
      <w:pPr>
        <w:pStyle w:val="ListParagraph"/>
        <w:numPr>
          <w:ilvl w:val="1"/>
          <w:numId w:val="5"/>
        </w:numPr>
      </w:pPr>
      <w:r>
        <w:t xml:space="preserve">Non-availability of low ash, low </w:t>
      </w:r>
      <w:proofErr w:type="spellStart"/>
      <w:r>
        <w:t>phos</w:t>
      </w:r>
      <w:proofErr w:type="spellEnd"/>
      <w:r>
        <w:t xml:space="preserve">. coking coal in the country </w:t>
      </w:r>
      <w:proofErr w:type="gramStart"/>
      <w:r>
        <w:t>for the production of</w:t>
      </w:r>
      <w:proofErr w:type="gramEnd"/>
      <w:r>
        <w:t xml:space="preserve"> desired coke with low ash, and low </w:t>
      </w:r>
      <w:proofErr w:type="spellStart"/>
      <w:r>
        <w:t>phos</w:t>
      </w:r>
      <w:proofErr w:type="spellEnd"/>
      <w:r>
        <w:t>. contents, making import of such coke at a high cost imperative</w:t>
      </w:r>
    </w:p>
    <w:p w14:paraId="4F272AD3" w14:textId="2CA2BC97" w:rsidR="00E1294D" w:rsidRDefault="00E1294D" w:rsidP="000C20A5">
      <w:pPr>
        <w:pStyle w:val="ListParagraph"/>
        <w:numPr>
          <w:ilvl w:val="1"/>
          <w:numId w:val="5"/>
        </w:numPr>
      </w:pPr>
      <w:r>
        <w:t>High-cost and insufficient infrastructural facilities (both road and rail) for rapid transportation of ore from mines to plants</w:t>
      </w:r>
    </w:p>
    <w:p w14:paraId="3CD224E8" w14:textId="6101D4D1" w:rsidR="000C20A5" w:rsidRDefault="000C20A5" w:rsidP="000C20A5">
      <w:pPr>
        <w:pStyle w:val="ListParagraph"/>
        <w:numPr>
          <w:ilvl w:val="1"/>
          <w:numId w:val="5"/>
        </w:numPr>
      </w:pPr>
      <w:r>
        <w:t>C</w:t>
      </w:r>
      <w:r w:rsidRPr="00367ABC">
        <w:t xml:space="preserve">ut-throat competition </w:t>
      </w:r>
      <w:r w:rsidR="002C3317">
        <w:t>from producers and exporters of Ferro alloys in other countries like South Africa, Kazakhstan, China, Russia, Mexico, Australia etc. due to global trade agreements which has made drastic reduction in customs duty on imports necessary</w:t>
      </w:r>
    </w:p>
    <w:p w14:paraId="1E4E5083" w14:textId="3D736B5C" w:rsidR="00100EE1" w:rsidRDefault="00100EE1" w:rsidP="000C20A5">
      <w:pPr>
        <w:pStyle w:val="ListParagraph"/>
        <w:numPr>
          <w:ilvl w:val="1"/>
          <w:numId w:val="5"/>
        </w:numPr>
      </w:pPr>
      <w:r>
        <w:t>Wide fluctuations in the International price of Ferro alloys depending on demand versus supply</w:t>
      </w:r>
    </w:p>
    <w:p w14:paraId="7EDC5712" w14:textId="77777777" w:rsidR="00AA76A1" w:rsidRDefault="00AA76A1" w:rsidP="009C2146">
      <w:pPr>
        <w:pStyle w:val="ListParagraph"/>
      </w:pPr>
    </w:p>
    <w:p w14:paraId="214B5BE9" w14:textId="77777777" w:rsidR="00EE5023" w:rsidRPr="00EE5023" w:rsidRDefault="00EE5023" w:rsidP="00EE5023">
      <w:pPr>
        <w:pStyle w:val="ListParagraph"/>
        <w:numPr>
          <w:ilvl w:val="0"/>
          <w:numId w:val="5"/>
        </w:numPr>
        <w:rPr>
          <w:u w:val="single"/>
        </w:rPr>
      </w:pPr>
      <w:r>
        <w:t>Ferro Alloy imports are mainly from China, Russia, Norway, South Africa and erstwhile USSR countries like Kazakhstan and Ukraine. India is out-beaten by the international prices of Ferro Alloys only because of the high Power tariff in India, which has been increasing every year by 15-20</w:t>
      </w:r>
      <w:proofErr w:type="gramStart"/>
      <w:r>
        <w:t>%.(</w:t>
      </w:r>
      <w:proofErr w:type="gramEnd"/>
      <w:r>
        <w:t>2010-11))</w:t>
      </w:r>
    </w:p>
    <w:p w14:paraId="7402C968" w14:textId="5A6EEDB5" w:rsidR="00536233" w:rsidRDefault="00536233" w:rsidP="00536233">
      <w:pPr>
        <w:pStyle w:val="ListParagraph"/>
        <w:numPr>
          <w:ilvl w:val="0"/>
          <w:numId w:val="5"/>
        </w:numPr>
      </w:pPr>
      <w:proofErr w:type="spellStart"/>
      <w:r>
        <w:t>Offlate</w:t>
      </w:r>
      <w:proofErr w:type="spellEnd"/>
      <w:r>
        <w:t>, t</w:t>
      </w:r>
      <w:r w:rsidRPr="00E62EB8">
        <w:t>he rising cost of power in South Africa and China has improved the competitiveness of Indian producers</w:t>
      </w:r>
      <w:r>
        <w:t xml:space="preserve"> in the global market</w:t>
      </w:r>
      <w:r w:rsidRPr="00E62EB8">
        <w:t>.</w:t>
      </w:r>
    </w:p>
    <w:p w14:paraId="0F601498" w14:textId="63ECF581" w:rsidR="00536233" w:rsidRDefault="00447F01" w:rsidP="00ED1992">
      <w:pPr>
        <w:pStyle w:val="ListParagraph"/>
        <w:numPr>
          <w:ilvl w:val="0"/>
          <w:numId w:val="5"/>
        </w:numPr>
      </w:pPr>
      <w:r>
        <w:t>Major Players:</w:t>
      </w:r>
    </w:p>
    <w:p w14:paraId="149353D2" w14:textId="32C0DF3B" w:rsidR="00447F01" w:rsidRDefault="00447F01" w:rsidP="00447F01">
      <w:pPr>
        <w:pStyle w:val="ListParagraph"/>
        <w:numPr>
          <w:ilvl w:val="1"/>
          <w:numId w:val="5"/>
        </w:numPr>
      </w:pPr>
      <w:r>
        <w:t>International:</w:t>
      </w:r>
    </w:p>
    <w:p w14:paraId="2C40B759" w14:textId="34D3D4DC" w:rsidR="00447F01" w:rsidRDefault="00447F01" w:rsidP="00447F01">
      <w:pPr>
        <w:pStyle w:val="ListParagraph"/>
        <w:numPr>
          <w:ilvl w:val="2"/>
          <w:numId w:val="5"/>
        </w:numPr>
      </w:pPr>
      <w:r w:rsidRPr="00447F01">
        <w:t xml:space="preserve">Tata Steel, Arcelor Mittal, OM Holdings, Gulf Ferroalloys, </w:t>
      </w:r>
      <w:proofErr w:type="spellStart"/>
      <w:r w:rsidRPr="00447F01">
        <w:t>Brahm</w:t>
      </w:r>
      <w:proofErr w:type="spellEnd"/>
      <w:r w:rsidRPr="00447F01">
        <w:t xml:space="preserve"> Group, Ferroalloy Corporation Limited, SAIL, Sakura Ferroalloys, Eurasian Natural Resources Corporation, S.C. Feral S.R.L., Jindal Group, China </w:t>
      </w:r>
      <w:proofErr w:type="spellStart"/>
      <w:r w:rsidRPr="00447F01">
        <w:t>Minmetals</w:t>
      </w:r>
      <w:proofErr w:type="spellEnd"/>
      <w:r w:rsidRPr="00447F01">
        <w:t xml:space="preserve"> Corporation, </w:t>
      </w:r>
      <w:proofErr w:type="spellStart"/>
      <w:r w:rsidRPr="00447F01">
        <w:t>Pertama</w:t>
      </w:r>
      <w:proofErr w:type="spellEnd"/>
      <w:r w:rsidRPr="00447F01">
        <w:t xml:space="preserve"> Ferroalloys, Nikopol Ferroalloy Plant, and Shanghai </w:t>
      </w:r>
      <w:proofErr w:type="spellStart"/>
      <w:r w:rsidRPr="00447F01">
        <w:t>Shenjia</w:t>
      </w:r>
      <w:proofErr w:type="spellEnd"/>
      <w:r w:rsidRPr="00447F01">
        <w:t xml:space="preserve"> Ferroalloys</w:t>
      </w:r>
    </w:p>
    <w:p w14:paraId="3D99DAC8" w14:textId="77C9DFD4" w:rsidR="00F15D5B" w:rsidRDefault="00F15D5B" w:rsidP="00F15D5B">
      <w:pPr>
        <w:pStyle w:val="ListParagraph"/>
        <w:numPr>
          <w:ilvl w:val="1"/>
          <w:numId w:val="5"/>
        </w:numPr>
      </w:pPr>
      <w:r>
        <w:t>Domestic:</w:t>
      </w:r>
    </w:p>
    <w:p w14:paraId="71E411DA" w14:textId="18F662F3" w:rsidR="00AE7AEB" w:rsidRPr="00567424" w:rsidRDefault="0011084F" w:rsidP="000546DC">
      <w:pPr>
        <w:pStyle w:val="ListParagraph"/>
        <w:ind w:left="900"/>
      </w:pPr>
      <w:r>
        <w:rPr>
          <w:noProof/>
        </w:rPr>
        <w:lastRenderedPageBreak/>
        <w:drawing>
          <wp:inline distT="0" distB="0" distL="0" distR="0" wp14:anchorId="081A3B56" wp14:editId="13646AFD">
            <wp:extent cx="1660672" cy="245249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8293" cy="2478517"/>
                    </a:xfrm>
                    <a:prstGeom prst="rect">
                      <a:avLst/>
                    </a:prstGeom>
                  </pic:spPr>
                </pic:pic>
              </a:graphicData>
            </a:graphic>
          </wp:inline>
        </w:drawing>
      </w:r>
      <w:r>
        <w:rPr>
          <w:noProof/>
        </w:rPr>
        <w:drawing>
          <wp:inline distT="0" distB="0" distL="0" distR="0" wp14:anchorId="6C50D8CD" wp14:editId="49EF7BA6">
            <wp:extent cx="1581390" cy="243644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03719" cy="2470846"/>
                    </a:xfrm>
                    <a:prstGeom prst="rect">
                      <a:avLst/>
                    </a:prstGeom>
                  </pic:spPr>
                </pic:pic>
              </a:graphicData>
            </a:graphic>
          </wp:inline>
        </w:drawing>
      </w:r>
      <w:r>
        <w:rPr>
          <w:noProof/>
        </w:rPr>
        <w:drawing>
          <wp:inline distT="0" distB="0" distL="0" distR="0" wp14:anchorId="5F93F760" wp14:editId="45EA17F7">
            <wp:extent cx="1945836" cy="24649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8812" cy="2494072"/>
                    </a:xfrm>
                    <a:prstGeom prst="rect">
                      <a:avLst/>
                    </a:prstGeom>
                  </pic:spPr>
                </pic:pic>
              </a:graphicData>
            </a:graphic>
          </wp:inline>
        </w:drawing>
      </w:r>
      <w:r w:rsidR="00AE7AEB">
        <w:t xml:space="preserve"> </w:t>
      </w:r>
    </w:p>
    <w:p w14:paraId="68D86AC1" w14:textId="40E9E597" w:rsidR="001826B7" w:rsidRDefault="00913F47" w:rsidP="00E5738A">
      <w:r>
        <w:t>(</w:t>
      </w:r>
      <w:r w:rsidR="001826B7">
        <w:t xml:space="preserve">Then the </w:t>
      </w:r>
      <w:proofErr w:type="gramStart"/>
      <w:r w:rsidR="001826B7">
        <w:t>down turn</w:t>
      </w:r>
      <w:proofErr w:type="gramEnd"/>
      <w:r w:rsidR="001826B7">
        <w:t xml:space="preserve"> in ferro alloys demand started in 1990s and further decelerated in 1997-98 due to </w:t>
      </w:r>
      <w:proofErr w:type="spellStart"/>
      <w:r w:rsidR="001826B7">
        <w:t>over all</w:t>
      </w:r>
      <w:proofErr w:type="spellEnd"/>
      <w:r w:rsidR="001826B7">
        <w:t xml:space="preserve"> recession in steel industry. This caused a crash in price of ferro alloys. In addition to this because of increased demand for ores from China, there was sudden rise in price of ores. </w:t>
      </w:r>
      <w:proofErr w:type="gramStart"/>
      <w:r w:rsidR="001826B7">
        <w:t>Also</w:t>
      </w:r>
      <w:proofErr w:type="gramEnd"/>
      <w:r w:rsidR="001826B7">
        <w:t xml:space="preserve"> there was increase in power cost due to withdrawal of some of the earlier concessional tariffs given in some areas. This resulted in closure of many ferro alloys plants in the country. Only those who had captive mining leases and/or captive thermal power generation plants or </w:t>
      </w:r>
      <w:proofErr w:type="gramStart"/>
      <w:r w:rsidR="001826B7">
        <w:t>were located in</w:t>
      </w:r>
      <w:proofErr w:type="gramEnd"/>
      <w:r w:rsidR="001826B7">
        <w:t xml:space="preserve"> such backward areas where concessional power tariff was extended, survived.</w:t>
      </w:r>
    </w:p>
    <w:p w14:paraId="2A13BF69" w14:textId="61BBD304" w:rsidR="00E5738A" w:rsidRPr="00E5738A" w:rsidRDefault="00E5738A" w:rsidP="00E5738A">
      <w:pPr>
        <w:rPr>
          <w:u w:val="single"/>
        </w:rPr>
      </w:pPr>
    </w:p>
    <w:p w14:paraId="274B524B" w14:textId="082005EB" w:rsidR="007F1C96" w:rsidRPr="00A53636" w:rsidRDefault="007F1C96" w:rsidP="007F1C96">
      <w:pPr>
        <w:rPr>
          <w:b/>
          <w:bCs/>
        </w:rPr>
      </w:pPr>
      <w:r>
        <w:rPr>
          <w:b/>
          <w:bCs/>
        </w:rPr>
        <w:t>Company</w:t>
      </w:r>
      <w:r w:rsidRPr="00A53636">
        <w:rPr>
          <w:b/>
          <w:bCs/>
        </w:rPr>
        <w:t xml:space="preserve"> Analysis:</w:t>
      </w:r>
    </w:p>
    <w:p w14:paraId="5CF1AF33" w14:textId="44BC586C" w:rsidR="0000481D" w:rsidRDefault="0000481D" w:rsidP="002C2BA0">
      <w:pPr>
        <w:pStyle w:val="ListParagraph"/>
        <w:numPr>
          <w:ilvl w:val="0"/>
          <w:numId w:val="2"/>
        </w:numPr>
      </w:pPr>
      <w:r>
        <w:t>Market Cap of Rs. 1415 Cr.</w:t>
      </w:r>
    </w:p>
    <w:p w14:paraId="3EAF7A66" w14:textId="4499D79E" w:rsidR="00935361" w:rsidRDefault="00935361" w:rsidP="002C2BA0">
      <w:pPr>
        <w:pStyle w:val="ListParagraph"/>
        <w:numPr>
          <w:ilvl w:val="0"/>
          <w:numId w:val="2"/>
        </w:numPr>
      </w:pPr>
      <w:r>
        <w:t>High Promoter Holding - ~75%</w:t>
      </w:r>
    </w:p>
    <w:p w14:paraId="7EC16E90" w14:textId="46E66D9E" w:rsidR="00304237" w:rsidRDefault="00304237" w:rsidP="002C2BA0">
      <w:pPr>
        <w:pStyle w:val="ListParagraph"/>
        <w:numPr>
          <w:ilvl w:val="0"/>
          <w:numId w:val="2"/>
        </w:numPr>
      </w:pPr>
      <w:r>
        <w:t xml:space="preserve">Institutional Holdings - </w:t>
      </w:r>
      <w:r>
        <w:t>~</w:t>
      </w:r>
      <w:r>
        <w:t>3.02</w:t>
      </w:r>
      <w:r>
        <w:t>%</w:t>
      </w:r>
    </w:p>
    <w:p w14:paraId="17500863" w14:textId="756855C6" w:rsidR="002C2BA0" w:rsidRDefault="002C2BA0" w:rsidP="002C2BA0">
      <w:pPr>
        <w:pStyle w:val="ListParagraph"/>
        <w:numPr>
          <w:ilvl w:val="0"/>
          <w:numId w:val="2"/>
        </w:numPr>
      </w:pPr>
      <w:r>
        <w:t>P</w:t>
      </w:r>
      <w:r w:rsidRPr="002164BB">
        <w:t>romoters have extensive experience having demonstrated capabilities to sail through several commodity down cycles with the focus on keeping costs low</w:t>
      </w:r>
      <w:r>
        <w:t xml:space="preserve"> </w:t>
      </w:r>
    </w:p>
    <w:p w14:paraId="1084675E" w14:textId="2E854D3A" w:rsidR="00907AD7" w:rsidRDefault="00907AD7" w:rsidP="002C2BA0">
      <w:pPr>
        <w:pStyle w:val="ListParagraph"/>
        <w:numPr>
          <w:ilvl w:val="0"/>
          <w:numId w:val="2"/>
        </w:numPr>
      </w:pPr>
      <w:r>
        <w:t>Lowest cost producer</w:t>
      </w:r>
    </w:p>
    <w:p w14:paraId="745E70FD" w14:textId="631AA6F8" w:rsidR="002C2BA0" w:rsidRDefault="002C2BA0" w:rsidP="002C2BA0">
      <w:pPr>
        <w:pStyle w:val="ListParagraph"/>
        <w:numPr>
          <w:ilvl w:val="0"/>
          <w:numId w:val="2"/>
        </w:numPr>
      </w:pPr>
      <w:r>
        <w:t>Had</w:t>
      </w:r>
      <w:r w:rsidRPr="00CB0D61">
        <w:t xml:space="preserve"> never in the last 15 years had a cash loss</w:t>
      </w:r>
    </w:p>
    <w:p w14:paraId="66218E7F" w14:textId="77777777" w:rsidR="002C2BA0" w:rsidRDefault="002C2BA0" w:rsidP="002C2BA0">
      <w:pPr>
        <w:pStyle w:val="ListParagraph"/>
        <w:numPr>
          <w:ilvl w:val="0"/>
          <w:numId w:val="2"/>
        </w:numPr>
      </w:pPr>
      <w:r w:rsidRPr="00CB0D61">
        <w:t xml:space="preserve">The company has zero debt in the books </w:t>
      </w:r>
    </w:p>
    <w:p w14:paraId="6AB22B80" w14:textId="145E8E44" w:rsidR="00B67B9D" w:rsidRDefault="00B67B9D" w:rsidP="00675114">
      <w:pPr>
        <w:pStyle w:val="ListParagraph"/>
        <w:numPr>
          <w:ilvl w:val="0"/>
          <w:numId w:val="2"/>
        </w:numPr>
      </w:pPr>
      <w:r>
        <w:t>Rise in OPM is mainly due to external factors, such as Power subsidies &amp; Lower Raw material costs, rather than the pricing power and/or culture of the company</w:t>
      </w:r>
    </w:p>
    <w:p w14:paraId="5D7B9C5E" w14:textId="7191CF2B" w:rsidR="00F264C1" w:rsidRDefault="00F264C1" w:rsidP="003B5B97">
      <w:pPr>
        <w:pStyle w:val="ListParagraph"/>
        <w:numPr>
          <w:ilvl w:val="0"/>
          <w:numId w:val="2"/>
        </w:numPr>
      </w:pPr>
      <w:r>
        <w:t xml:space="preserve">NFAT has been consistently increasing since FY2014 - </w:t>
      </w:r>
      <w:proofErr w:type="spellStart"/>
      <w:r w:rsidRPr="00F264C1">
        <w:t>Maithan</w:t>
      </w:r>
      <w:proofErr w:type="spellEnd"/>
      <w:r w:rsidRPr="00F264C1">
        <w:t xml:space="preserve"> Alloys Ltd has been able to time its capacity additions well with the customer demand so that the new capacity does not have to remain idle waiting for customer orders</w:t>
      </w:r>
    </w:p>
    <w:p w14:paraId="01C5A474" w14:textId="26AB33B2" w:rsidR="009E0CC7" w:rsidRDefault="009E0CC7" w:rsidP="003B5B97">
      <w:pPr>
        <w:pStyle w:val="ListParagraph"/>
        <w:numPr>
          <w:ilvl w:val="0"/>
          <w:numId w:val="2"/>
        </w:numPr>
      </w:pPr>
      <w:r>
        <w:t xml:space="preserve">Inventory Turnover Ratio (ITR) on the rise since FY2013 - </w:t>
      </w:r>
      <w:r w:rsidR="007C72A8" w:rsidRPr="007C72A8">
        <w:t>able to utilize the inventory more efficiently</w:t>
      </w:r>
    </w:p>
    <w:p w14:paraId="10EB0557" w14:textId="796B5D80" w:rsidR="00754C98" w:rsidRDefault="00754C98" w:rsidP="003B5B97">
      <w:pPr>
        <w:pStyle w:val="ListParagraph"/>
        <w:numPr>
          <w:ilvl w:val="0"/>
          <w:numId w:val="2"/>
        </w:numPr>
      </w:pPr>
      <w:r>
        <w:t>A</w:t>
      </w:r>
      <w:r w:rsidRPr="00754C98">
        <w:t>ble to convert its profits into cash flow from operations</w:t>
      </w:r>
      <w:r>
        <w:t xml:space="preserve"> – Cumulative CFO of 1136</w:t>
      </w:r>
      <w:r w:rsidR="006A1B58">
        <w:t xml:space="preserve"> vs NPAT of 1101</w:t>
      </w:r>
    </w:p>
    <w:p w14:paraId="7EB561F8" w14:textId="6C0D517D" w:rsidR="0030506B" w:rsidRDefault="00925902" w:rsidP="004A0E95">
      <w:pPr>
        <w:pStyle w:val="ListParagraph"/>
        <w:numPr>
          <w:ilvl w:val="0"/>
          <w:numId w:val="2"/>
        </w:numPr>
      </w:pPr>
      <w:r>
        <w:t>B</w:t>
      </w:r>
      <w:r w:rsidRPr="00925902">
        <w:t xml:space="preserve">usiness model of </w:t>
      </w:r>
      <w:proofErr w:type="spellStart"/>
      <w:r w:rsidRPr="00925902">
        <w:t>Maithan</w:t>
      </w:r>
      <w:proofErr w:type="spellEnd"/>
      <w:r w:rsidRPr="00925902">
        <w:t xml:space="preserve"> Alloys Ltd is relatively asset light, which is evident from the NFAT being consistently above 3.0 and reaching a level of </w:t>
      </w:r>
      <w:r>
        <w:t>8.64</w:t>
      </w:r>
      <w:r w:rsidRPr="00925902">
        <w:t xml:space="preserve"> in FY201</w:t>
      </w:r>
      <w:r>
        <w:t>9</w:t>
      </w:r>
      <w:r w:rsidR="00DA344E">
        <w:t xml:space="preserve"> - </w:t>
      </w:r>
      <w:r w:rsidR="0030506B">
        <w:t>Total capital expenditure of 361 to increase sales by 1336</w:t>
      </w:r>
    </w:p>
    <w:p w14:paraId="42AC8371" w14:textId="77777777" w:rsidR="00306477" w:rsidRDefault="00306477" w:rsidP="00306477">
      <w:pPr>
        <w:pStyle w:val="ListParagraph"/>
        <w:numPr>
          <w:ilvl w:val="0"/>
          <w:numId w:val="2"/>
        </w:numPr>
      </w:pPr>
      <w:proofErr w:type="spellStart"/>
      <w:r w:rsidRPr="00401E02">
        <w:lastRenderedPageBreak/>
        <w:t>Maithan</w:t>
      </w:r>
      <w:proofErr w:type="spellEnd"/>
      <w:r w:rsidRPr="00401E02">
        <w:t xml:space="preserve"> is India’s largest producer &amp; exporter of Manganese alloys</w:t>
      </w:r>
      <w:r>
        <w:t xml:space="preserve"> </w:t>
      </w:r>
    </w:p>
    <w:p w14:paraId="4F4BF049" w14:textId="203F87AA" w:rsidR="000B2C58" w:rsidRDefault="000B2C58" w:rsidP="00306477">
      <w:pPr>
        <w:pStyle w:val="ListParagraph"/>
        <w:numPr>
          <w:ilvl w:val="0"/>
          <w:numId w:val="2"/>
        </w:numPr>
      </w:pPr>
      <w:r>
        <w:t>Market Share:</w:t>
      </w:r>
    </w:p>
    <w:p w14:paraId="6F3B5E50" w14:textId="5DA2F2DD" w:rsidR="00306477" w:rsidRDefault="00306477" w:rsidP="000B2C58">
      <w:pPr>
        <w:pStyle w:val="ListParagraph"/>
        <w:numPr>
          <w:ilvl w:val="1"/>
          <w:numId w:val="2"/>
        </w:numPr>
      </w:pPr>
      <w:r>
        <w:t>6% domestic market share</w:t>
      </w:r>
    </w:p>
    <w:p w14:paraId="539E2237" w14:textId="77777777" w:rsidR="00306477" w:rsidRDefault="00306477" w:rsidP="000B2C58">
      <w:pPr>
        <w:pStyle w:val="ListParagraph"/>
        <w:numPr>
          <w:ilvl w:val="1"/>
          <w:numId w:val="2"/>
        </w:numPr>
      </w:pPr>
      <w:r>
        <w:t>1.2% global market share</w:t>
      </w:r>
    </w:p>
    <w:p w14:paraId="339103D4" w14:textId="153DAE34" w:rsidR="00DB4012" w:rsidRDefault="00DB4012" w:rsidP="00306477">
      <w:pPr>
        <w:pStyle w:val="ListParagraph"/>
        <w:numPr>
          <w:ilvl w:val="0"/>
          <w:numId w:val="2"/>
        </w:numPr>
      </w:pPr>
      <w:r>
        <w:t>Competitive Advantages:</w:t>
      </w:r>
    </w:p>
    <w:p w14:paraId="74937B42" w14:textId="46512F51" w:rsidR="00306477" w:rsidRDefault="00306477" w:rsidP="00DB4012">
      <w:pPr>
        <w:pStyle w:val="ListParagraph"/>
        <w:numPr>
          <w:ilvl w:val="1"/>
          <w:numId w:val="2"/>
        </w:numPr>
      </w:pPr>
      <w:r>
        <w:t>Lowest Cost producer</w:t>
      </w:r>
    </w:p>
    <w:p w14:paraId="58EC86AA" w14:textId="77777777" w:rsidR="00306477" w:rsidRDefault="00306477" w:rsidP="00DB4012">
      <w:pPr>
        <w:pStyle w:val="ListParagraph"/>
        <w:numPr>
          <w:ilvl w:val="1"/>
          <w:numId w:val="2"/>
        </w:numPr>
      </w:pPr>
      <w:r>
        <w:t>Stronger Product Mix</w:t>
      </w:r>
    </w:p>
    <w:p w14:paraId="04F712FC" w14:textId="4EC21AFD" w:rsidR="00306477" w:rsidRDefault="00306477" w:rsidP="00DB4012">
      <w:pPr>
        <w:pStyle w:val="ListParagraph"/>
        <w:numPr>
          <w:ilvl w:val="1"/>
          <w:numId w:val="2"/>
        </w:numPr>
      </w:pPr>
      <w:r>
        <w:t>Higher quality</w:t>
      </w:r>
    </w:p>
    <w:p w14:paraId="079233E1" w14:textId="254D7E31" w:rsidR="00CA13DE" w:rsidRDefault="00CA13DE" w:rsidP="00DB4012">
      <w:pPr>
        <w:pStyle w:val="ListParagraph"/>
        <w:numPr>
          <w:ilvl w:val="1"/>
          <w:numId w:val="2"/>
        </w:numPr>
      </w:pPr>
      <w:r>
        <w:t>Strong customer relations</w:t>
      </w:r>
    </w:p>
    <w:p w14:paraId="159FFE41" w14:textId="77777777" w:rsidR="00306477" w:rsidRDefault="00306477" w:rsidP="00306477">
      <w:pPr>
        <w:pStyle w:val="ListParagraph"/>
        <w:numPr>
          <w:ilvl w:val="0"/>
          <w:numId w:val="2"/>
        </w:numPr>
      </w:pPr>
      <w:r>
        <w:t>I</w:t>
      </w:r>
      <w:r w:rsidRPr="00426D44">
        <w:t xml:space="preserve">ndustry will grow by a CAGR of more than 5.5% </w:t>
      </w:r>
      <w:r>
        <w:t xml:space="preserve">globally </w:t>
      </w:r>
      <w:r w:rsidRPr="00426D44">
        <w:t>up to 2025</w:t>
      </w:r>
    </w:p>
    <w:p w14:paraId="55FC1488" w14:textId="35E9B9A3" w:rsidR="00306477" w:rsidRDefault="00306477" w:rsidP="00306477">
      <w:pPr>
        <w:pStyle w:val="ListParagraph"/>
        <w:numPr>
          <w:ilvl w:val="0"/>
          <w:numId w:val="2"/>
        </w:numPr>
      </w:pPr>
      <w:proofErr w:type="spellStart"/>
      <w:r>
        <w:t>Maithan</w:t>
      </w:r>
      <w:proofErr w:type="spellEnd"/>
      <w:r>
        <w:t xml:space="preserve"> Alloy’s selling prices are mostly fixed for long term contracts spanning more than approx. 3 months</w:t>
      </w:r>
    </w:p>
    <w:p w14:paraId="2CC3FECB" w14:textId="545364F7" w:rsidR="00144C7C" w:rsidRDefault="00C11A3C" w:rsidP="003B5B97">
      <w:pPr>
        <w:pStyle w:val="ListParagraph"/>
        <w:numPr>
          <w:ilvl w:val="0"/>
          <w:numId w:val="2"/>
        </w:numPr>
      </w:pPr>
      <w:r>
        <w:t xml:space="preserve">Does NOT have Pricing Power - </w:t>
      </w:r>
      <w:r w:rsidR="00144C7C">
        <w:t>Unable to pass on raw material cost increases to customers</w:t>
      </w:r>
      <w:r w:rsidR="0016660A">
        <w:t>, as evidenced from the following graph:</w:t>
      </w:r>
    </w:p>
    <w:p w14:paraId="2030887D" w14:textId="0FEC7D31" w:rsidR="00144C7C" w:rsidRDefault="00144C7C" w:rsidP="00C701E7">
      <w:pPr>
        <w:pStyle w:val="ListParagraph"/>
      </w:pPr>
      <w:r>
        <w:rPr>
          <w:noProof/>
        </w:rPr>
        <w:drawing>
          <wp:inline distT="0" distB="0" distL="0" distR="0" wp14:anchorId="7E8B72ED" wp14:editId="2B589067">
            <wp:extent cx="5943600" cy="3484880"/>
            <wp:effectExtent l="0" t="0" r="0" b="1270"/>
            <wp:docPr id="1" name="Chart 1">
              <a:extLst xmlns:a="http://schemas.openxmlformats.org/drawingml/2006/main">
                <a:ext uri="{FF2B5EF4-FFF2-40B4-BE49-F238E27FC236}">
                  <a16:creationId xmlns:a16="http://schemas.microsoft.com/office/drawing/2014/main" id="{8FBFA105-73F7-4DAD-A8F0-D6217D9E3E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1F953B" w14:textId="77777777" w:rsidR="00144C7C" w:rsidRDefault="00144C7C" w:rsidP="00C701E7">
      <w:pPr>
        <w:pStyle w:val="ListParagraph"/>
      </w:pPr>
    </w:p>
    <w:p w14:paraId="55350925" w14:textId="7D5ACC8B" w:rsidR="00AC4EE3" w:rsidRDefault="00AC4EE3" w:rsidP="00AC4EE3">
      <w:pPr>
        <w:rPr>
          <w:b/>
          <w:bCs/>
          <w:u w:val="single"/>
        </w:rPr>
      </w:pPr>
      <w:r w:rsidRPr="00AC4EE3">
        <w:rPr>
          <w:b/>
          <w:bCs/>
          <w:u w:val="single"/>
        </w:rPr>
        <w:t xml:space="preserve">Sources of </w:t>
      </w:r>
      <w:r w:rsidR="009B1C75">
        <w:rPr>
          <w:b/>
          <w:bCs/>
          <w:u w:val="single"/>
        </w:rPr>
        <w:t xml:space="preserve">Future </w:t>
      </w:r>
      <w:r w:rsidRPr="00AC4EE3">
        <w:rPr>
          <w:b/>
          <w:bCs/>
          <w:u w:val="single"/>
        </w:rPr>
        <w:t>Growth</w:t>
      </w:r>
      <w:r>
        <w:rPr>
          <w:b/>
          <w:bCs/>
          <w:u w:val="single"/>
        </w:rPr>
        <w:t>:</w:t>
      </w:r>
    </w:p>
    <w:p w14:paraId="40F1EDC4" w14:textId="4E9BA5EF" w:rsidR="009E7186" w:rsidRDefault="009E7186" w:rsidP="009E7186">
      <w:pPr>
        <w:pStyle w:val="ListParagraph"/>
        <w:numPr>
          <w:ilvl w:val="0"/>
          <w:numId w:val="3"/>
        </w:numPr>
      </w:pPr>
      <w:r>
        <w:t>Domestic Growth due to N</w:t>
      </w:r>
      <w:r w:rsidR="009B1C75">
        <w:t>ational Steel Policy</w:t>
      </w:r>
      <w:r w:rsidR="00B84E7D">
        <w:t xml:space="preserve"> – 6%</w:t>
      </w:r>
    </w:p>
    <w:p w14:paraId="20F39263" w14:textId="241A12CD" w:rsidR="009E7186" w:rsidRDefault="009E7186" w:rsidP="009E7186">
      <w:pPr>
        <w:pStyle w:val="ListParagraph"/>
        <w:numPr>
          <w:ilvl w:val="0"/>
          <w:numId w:val="3"/>
        </w:numPr>
      </w:pPr>
      <w:r>
        <w:t>Export growth</w:t>
      </w:r>
      <w:r w:rsidR="008A6CB2">
        <w:t xml:space="preserve"> </w:t>
      </w:r>
      <w:r w:rsidR="00AA23BD">
        <w:t>–</w:t>
      </w:r>
      <w:r w:rsidR="008A6CB2">
        <w:t xml:space="preserve"> </w:t>
      </w:r>
      <w:r w:rsidR="00AA23BD" w:rsidRPr="00AA23BD">
        <w:rPr>
          <w:color w:val="000000" w:themeColor="text1"/>
        </w:rPr>
        <w:t>5%</w:t>
      </w:r>
    </w:p>
    <w:p w14:paraId="58D847F3" w14:textId="1355FDED" w:rsidR="00B15F6E" w:rsidRDefault="00B15F6E" w:rsidP="00B15F6E">
      <w:r>
        <w:rPr>
          <w:b/>
          <w:bCs/>
          <w:u w:val="single"/>
        </w:rPr>
        <w:t>Ways to</w:t>
      </w:r>
      <w:r w:rsidRPr="00AC4EE3">
        <w:rPr>
          <w:b/>
          <w:bCs/>
          <w:u w:val="single"/>
        </w:rPr>
        <w:t xml:space="preserve"> </w:t>
      </w:r>
      <w:r>
        <w:rPr>
          <w:b/>
          <w:bCs/>
          <w:u w:val="single"/>
        </w:rPr>
        <w:t xml:space="preserve">fulfill </w:t>
      </w:r>
      <w:r w:rsidRPr="00AC4EE3">
        <w:rPr>
          <w:b/>
          <w:bCs/>
          <w:u w:val="single"/>
        </w:rPr>
        <w:t>Growth</w:t>
      </w:r>
      <w:r>
        <w:rPr>
          <w:b/>
          <w:bCs/>
          <w:u w:val="single"/>
        </w:rPr>
        <w:t>:</w:t>
      </w:r>
    </w:p>
    <w:p w14:paraId="0E40A3E7" w14:textId="037B6D45" w:rsidR="0068265D" w:rsidRDefault="00493FA1" w:rsidP="00634DAA">
      <w:pPr>
        <w:pStyle w:val="ListParagraph"/>
        <w:numPr>
          <w:ilvl w:val="0"/>
          <w:numId w:val="4"/>
        </w:numPr>
      </w:pPr>
      <w:r>
        <w:t xml:space="preserve">Greenfield expansion from </w:t>
      </w:r>
      <w:r w:rsidR="0068265D">
        <w:t xml:space="preserve">Current capacity </w:t>
      </w:r>
      <w:r>
        <w:t>of</w:t>
      </w:r>
      <w:r w:rsidR="0068265D">
        <w:t xml:space="preserve"> </w:t>
      </w:r>
      <w:r w:rsidR="002037F1">
        <w:t>2</w:t>
      </w:r>
      <w:r w:rsidR="00C867F6">
        <w:t>3</w:t>
      </w:r>
      <w:r w:rsidR="002037F1">
        <w:t>5</w:t>
      </w:r>
      <w:r w:rsidR="00C867F6">
        <w:t>6</w:t>
      </w:r>
      <w:r w:rsidR="002037F1">
        <w:t xml:space="preserve">00 </w:t>
      </w:r>
      <w:proofErr w:type="spellStart"/>
      <w:r w:rsidR="002037F1">
        <w:t>tonnes</w:t>
      </w:r>
      <w:proofErr w:type="spellEnd"/>
      <w:r>
        <w:t xml:space="preserve"> in FY20 to 345000(=2</w:t>
      </w:r>
      <w:r w:rsidR="00620134">
        <w:t>3</w:t>
      </w:r>
      <w:r>
        <w:t xml:space="preserve">5000 + 120000 - Bankura) </w:t>
      </w:r>
      <w:r w:rsidR="004A4E7A">
        <w:t>in</w:t>
      </w:r>
      <w:r>
        <w:t xml:space="preserve"> FY24</w:t>
      </w:r>
      <w:r w:rsidR="004A4E7A">
        <w:t xml:space="preserve"> – </w:t>
      </w:r>
      <w:r w:rsidR="00620134">
        <w:t xml:space="preserve">approx. </w:t>
      </w:r>
      <w:r w:rsidR="004A4E7A">
        <w:t>1</w:t>
      </w:r>
      <w:r w:rsidR="00620134">
        <w:t>1</w:t>
      </w:r>
      <w:r w:rsidR="004A4E7A">
        <w:t>% CAGR</w:t>
      </w:r>
    </w:p>
    <w:p w14:paraId="37D162BB" w14:textId="0EEFD741" w:rsidR="0068265D" w:rsidRPr="009E7186" w:rsidRDefault="004A4E7A" w:rsidP="00634DAA">
      <w:pPr>
        <w:pStyle w:val="ListParagraph"/>
        <w:numPr>
          <w:ilvl w:val="0"/>
          <w:numId w:val="4"/>
        </w:numPr>
      </w:pPr>
      <w:r>
        <w:t xml:space="preserve">Greenfield + Brownfield expansion </w:t>
      </w:r>
      <w:r w:rsidR="00620134">
        <w:t xml:space="preserve">from Current capacity of 235600 </w:t>
      </w:r>
      <w:proofErr w:type="spellStart"/>
      <w:r w:rsidR="00620134">
        <w:t>tonnes</w:t>
      </w:r>
      <w:proofErr w:type="spellEnd"/>
      <w:r w:rsidR="00620134">
        <w:t xml:space="preserve"> in FY20 to </w:t>
      </w:r>
      <w:r w:rsidR="00A75708">
        <w:t>471200</w:t>
      </w:r>
      <w:r w:rsidR="00A74F1A">
        <w:t xml:space="preserve"> </w:t>
      </w:r>
      <w:r w:rsidR="00620134">
        <w:t>in FY24 – 1</w:t>
      </w:r>
      <w:r w:rsidR="00A74F1A">
        <w:t>9</w:t>
      </w:r>
      <w:r w:rsidR="00620134">
        <w:t>% CAGR</w:t>
      </w:r>
      <w:r w:rsidR="00B15F6E">
        <w:t xml:space="preserve"> </w:t>
      </w:r>
    </w:p>
    <w:p w14:paraId="4394C495" w14:textId="77777777" w:rsidR="00751A7A" w:rsidRDefault="00CB3F23" w:rsidP="00AC4EE3">
      <w:r w:rsidRPr="00CB3F23">
        <w:lastRenderedPageBreak/>
        <w:t xml:space="preserve">The acquisition of the leasehold rights on land </w:t>
      </w:r>
      <w:r>
        <w:t xml:space="preserve">of Rs. 2594.32 lakhs </w:t>
      </w:r>
      <w:proofErr w:type="gramStart"/>
      <w:r>
        <w:t>is</w:t>
      </w:r>
      <w:proofErr w:type="gramEnd"/>
      <w:r>
        <w:t xml:space="preserve"> in conflict with the Asset-light business concept, as published by the company. May need to get a clarification on this from </w:t>
      </w:r>
      <w:proofErr w:type="gramStart"/>
      <w:r>
        <w:t>mgmt..</w:t>
      </w:r>
      <w:proofErr w:type="gramEnd"/>
      <w:r>
        <w:t xml:space="preserve"> to determine future strategies.</w:t>
      </w:r>
    </w:p>
    <w:p w14:paraId="502658E5" w14:textId="24EF34C8" w:rsidR="00751A7A" w:rsidRDefault="00751A7A" w:rsidP="00AC4EE3">
      <w:r>
        <w:t xml:space="preserve">High reliance of exports in Asian steel producers –may </w:t>
      </w:r>
      <w:r w:rsidR="00D27EC0">
        <w:t>have</w:t>
      </w:r>
      <w:r>
        <w:t xml:space="preserve"> impacted short-term due to Corona virus outbreak</w:t>
      </w:r>
      <w:r w:rsidR="003F67B5">
        <w:t xml:space="preserve"> on both revenues and share price</w:t>
      </w:r>
      <w:r w:rsidR="00640253">
        <w:t xml:space="preserve"> sentiments.</w:t>
      </w:r>
      <w:bookmarkStart w:id="0" w:name="_GoBack"/>
      <w:bookmarkEnd w:id="0"/>
    </w:p>
    <w:sectPr w:rsidR="00751A7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26BBD" w14:textId="77777777" w:rsidR="003B1821" w:rsidRDefault="003B1821" w:rsidP="00C547BC">
      <w:pPr>
        <w:spacing w:after="0" w:line="240" w:lineRule="auto"/>
      </w:pPr>
      <w:r>
        <w:separator/>
      </w:r>
    </w:p>
  </w:endnote>
  <w:endnote w:type="continuationSeparator" w:id="0">
    <w:p w14:paraId="00DAEB68" w14:textId="77777777" w:rsidR="003B1821" w:rsidRDefault="003B1821" w:rsidP="00C54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0511" w14:textId="77777777" w:rsidR="00C547BC" w:rsidRDefault="00C54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0749C" w14:textId="77777777" w:rsidR="00C547BC" w:rsidRDefault="00C54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78E43" w14:textId="77777777" w:rsidR="00C547BC" w:rsidRDefault="00C5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4B61E" w14:textId="77777777" w:rsidR="003B1821" w:rsidRDefault="003B1821" w:rsidP="00C547BC">
      <w:pPr>
        <w:spacing w:after="0" w:line="240" w:lineRule="auto"/>
      </w:pPr>
      <w:r>
        <w:separator/>
      </w:r>
    </w:p>
  </w:footnote>
  <w:footnote w:type="continuationSeparator" w:id="0">
    <w:p w14:paraId="2E0BBD17" w14:textId="77777777" w:rsidR="003B1821" w:rsidRDefault="003B1821" w:rsidP="00C54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49F11" w14:textId="77777777" w:rsidR="00C547BC" w:rsidRDefault="00C54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FBE05" w14:textId="77777777" w:rsidR="00C547BC" w:rsidRDefault="00C54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157F7" w14:textId="77777777" w:rsidR="00C547BC" w:rsidRDefault="00C54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D0C1B"/>
    <w:multiLevelType w:val="hybridMultilevel"/>
    <w:tmpl w:val="38A0BDB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3E3D96"/>
    <w:multiLevelType w:val="hybridMultilevel"/>
    <w:tmpl w:val="A238C5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32AAED6">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E3209"/>
    <w:multiLevelType w:val="hybridMultilevel"/>
    <w:tmpl w:val="C83403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4755D"/>
    <w:multiLevelType w:val="hybridMultilevel"/>
    <w:tmpl w:val="7D8A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464A71"/>
    <w:multiLevelType w:val="hybridMultilevel"/>
    <w:tmpl w:val="432AF53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42D83"/>
    <w:multiLevelType w:val="hybridMultilevel"/>
    <w:tmpl w:val="1C706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4D0755"/>
    <w:multiLevelType w:val="hybridMultilevel"/>
    <w:tmpl w:val="14D4512C"/>
    <w:lvl w:ilvl="0" w:tplc="A1B2D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BC"/>
    <w:rsid w:val="0000481D"/>
    <w:rsid w:val="000546DC"/>
    <w:rsid w:val="000567F1"/>
    <w:rsid w:val="000B2C58"/>
    <w:rsid w:val="000C20A5"/>
    <w:rsid w:val="000C6937"/>
    <w:rsid w:val="000D1691"/>
    <w:rsid w:val="000E63FC"/>
    <w:rsid w:val="00100EE1"/>
    <w:rsid w:val="0011084F"/>
    <w:rsid w:val="00144C7C"/>
    <w:rsid w:val="00145458"/>
    <w:rsid w:val="00160C45"/>
    <w:rsid w:val="0016660A"/>
    <w:rsid w:val="001826B7"/>
    <w:rsid w:val="001954DC"/>
    <w:rsid w:val="001A447B"/>
    <w:rsid w:val="001B0009"/>
    <w:rsid w:val="001C394F"/>
    <w:rsid w:val="002037F1"/>
    <w:rsid w:val="002048C0"/>
    <w:rsid w:val="002164BB"/>
    <w:rsid w:val="002303E6"/>
    <w:rsid w:val="002A4116"/>
    <w:rsid w:val="002B2E37"/>
    <w:rsid w:val="002C2BA0"/>
    <w:rsid w:val="002C3317"/>
    <w:rsid w:val="003012E3"/>
    <w:rsid w:val="00303BC2"/>
    <w:rsid w:val="00304237"/>
    <w:rsid w:val="0030506B"/>
    <w:rsid w:val="00306477"/>
    <w:rsid w:val="00355164"/>
    <w:rsid w:val="00361173"/>
    <w:rsid w:val="00367ABC"/>
    <w:rsid w:val="00372EF7"/>
    <w:rsid w:val="00390FB9"/>
    <w:rsid w:val="003B1821"/>
    <w:rsid w:val="003B5B97"/>
    <w:rsid w:val="003B7042"/>
    <w:rsid w:val="003D5AE2"/>
    <w:rsid w:val="003F2991"/>
    <w:rsid w:val="003F6088"/>
    <w:rsid w:val="003F67B5"/>
    <w:rsid w:val="00401E02"/>
    <w:rsid w:val="00426D44"/>
    <w:rsid w:val="00444252"/>
    <w:rsid w:val="00447F01"/>
    <w:rsid w:val="00463ABD"/>
    <w:rsid w:val="0047299B"/>
    <w:rsid w:val="00472B09"/>
    <w:rsid w:val="00493FA1"/>
    <w:rsid w:val="004A22DD"/>
    <w:rsid w:val="004A4E7A"/>
    <w:rsid w:val="004C4465"/>
    <w:rsid w:val="004D0152"/>
    <w:rsid w:val="004D7863"/>
    <w:rsid w:val="004E4DCB"/>
    <w:rsid w:val="00500085"/>
    <w:rsid w:val="00534BD0"/>
    <w:rsid w:val="00536233"/>
    <w:rsid w:val="00537B76"/>
    <w:rsid w:val="00542CCC"/>
    <w:rsid w:val="00547799"/>
    <w:rsid w:val="0055264E"/>
    <w:rsid w:val="00567424"/>
    <w:rsid w:val="0058130F"/>
    <w:rsid w:val="0059559C"/>
    <w:rsid w:val="005C5525"/>
    <w:rsid w:val="005C761C"/>
    <w:rsid w:val="005D50A6"/>
    <w:rsid w:val="005E5B62"/>
    <w:rsid w:val="006110FD"/>
    <w:rsid w:val="00620134"/>
    <w:rsid w:val="00634DAA"/>
    <w:rsid w:val="00640253"/>
    <w:rsid w:val="006569A8"/>
    <w:rsid w:val="006741E1"/>
    <w:rsid w:val="00675114"/>
    <w:rsid w:val="00682354"/>
    <w:rsid w:val="0068265D"/>
    <w:rsid w:val="006A1B58"/>
    <w:rsid w:val="006A493C"/>
    <w:rsid w:val="006E3DB8"/>
    <w:rsid w:val="007052D7"/>
    <w:rsid w:val="007204E1"/>
    <w:rsid w:val="00747939"/>
    <w:rsid w:val="00751A7A"/>
    <w:rsid w:val="00754C98"/>
    <w:rsid w:val="007B40DE"/>
    <w:rsid w:val="007B6A2E"/>
    <w:rsid w:val="007C6D34"/>
    <w:rsid w:val="007C72A8"/>
    <w:rsid w:val="007F1C96"/>
    <w:rsid w:val="007F491C"/>
    <w:rsid w:val="007F629C"/>
    <w:rsid w:val="008057B3"/>
    <w:rsid w:val="008064C4"/>
    <w:rsid w:val="00832A37"/>
    <w:rsid w:val="00851919"/>
    <w:rsid w:val="008707B9"/>
    <w:rsid w:val="00893AEC"/>
    <w:rsid w:val="00894409"/>
    <w:rsid w:val="008A02D6"/>
    <w:rsid w:val="008A161E"/>
    <w:rsid w:val="008A6CB2"/>
    <w:rsid w:val="008B1455"/>
    <w:rsid w:val="008B2D24"/>
    <w:rsid w:val="008C34EF"/>
    <w:rsid w:val="008D3116"/>
    <w:rsid w:val="008E0C9D"/>
    <w:rsid w:val="00903EAA"/>
    <w:rsid w:val="00907AD7"/>
    <w:rsid w:val="00913F47"/>
    <w:rsid w:val="00925902"/>
    <w:rsid w:val="00932EAC"/>
    <w:rsid w:val="00935361"/>
    <w:rsid w:val="0096205E"/>
    <w:rsid w:val="009624DF"/>
    <w:rsid w:val="009B1C75"/>
    <w:rsid w:val="009C2146"/>
    <w:rsid w:val="009E0CC7"/>
    <w:rsid w:val="009E7186"/>
    <w:rsid w:val="009F1DBD"/>
    <w:rsid w:val="009F2652"/>
    <w:rsid w:val="009F5013"/>
    <w:rsid w:val="00A010A9"/>
    <w:rsid w:val="00A10C9F"/>
    <w:rsid w:val="00A23BB7"/>
    <w:rsid w:val="00A402F8"/>
    <w:rsid w:val="00A41D5C"/>
    <w:rsid w:val="00A53636"/>
    <w:rsid w:val="00A74F1A"/>
    <w:rsid w:val="00A75708"/>
    <w:rsid w:val="00A81EE4"/>
    <w:rsid w:val="00A90D75"/>
    <w:rsid w:val="00A90E53"/>
    <w:rsid w:val="00AA23BD"/>
    <w:rsid w:val="00AA7128"/>
    <w:rsid w:val="00AA76A1"/>
    <w:rsid w:val="00AC4EE3"/>
    <w:rsid w:val="00AC5273"/>
    <w:rsid w:val="00AE7AEB"/>
    <w:rsid w:val="00B15F6E"/>
    <w:rsid w:val="00B556C7"/>
    <w:rsid w:val="00B67B9D"/>
    <w:rsid w:val="00B84E7D"/>
    <w:rsid w:val="00BC4728"/>
    <w:rsid w:val="00BE3E68"/>
    <w:rsid w:val="00C11A3C"/>
    <w:rsid w:val="00C547BC"/>
    <w:rsid w:val="00C66639"/>
    <w:rsid w:val="00C701E7"/>
    <w:rsid w:val="00C707B2"/>
    <w:rsid w:val="00C7441E"/>
    <w:rsid w:val="00C75A7B"/>
    <w:rsid w:val="00C8603F"/>
    <w:rsid w:val="00C867F6"/>
    <w:rsid w:val="00C86FC5"/>
    <w:rsid w:val="00C920BA"/>
    <w:rsid w:val="00C97714"/>
    <w:rsid w:val="00CA09C6"/>
    <w:rsid w:val="00CA12FB"/>
    <w:rsid w:val="00CA13DE"/>
    <w:rsid w:val="00CB0D61"/>
    <w:rsid w:val="00CB0ED7"/>
    <w:rsid w:val="00CB3F23"/>
    <w:rsid w:val="00CB61FF"/>
    <w:rsid w:val="00CC2EB3"/>
    <w:rsid w:val="00CC2FCA"/>
    <w:rsid w:val="00CC76B2"/>
    <w:rsid w:val="00CF2AE6"/>
    <w:rsid w:val="00D101B2"/>
    <w:rsid w:val="00D15E15"/>
    <w:rsid w:val="00D27EC0"/>
    <w:rsid w:val="00D67398"/>
    <w:rsid w:val="00DA344E"/>
    <w:rsid w:val="00DB4012"/>
    <w:rsid w:val="00DB6A3C"/>
    <w:rsid w:val="00DC3523"/>
    <w:rsid w:val="00DC7C27"/>
    <w:rsid w:val="00DF7E2F"/>
    <w:rsid w:val="00E05690"/>
    <w:rsid w:val="00E1294D"/>
    <w:rsid w:val="00E23B05"/>
    <w:rsid w:val="00E5738A"/>
    <w:rsid w:val="00E62EB8"/>
    <w:rsid w:val="00EC5D34"/>
    <w:rsid w:val="00ED1992"/>
    <w:rsid w:val="00EE5023"/>
    <w:rsid w:val="00F15D5B"/>
    <w:rsid w:val="00F20AFC"/>
    <w:rsid w:val="00F264C1"/>
    <w:rsid w:val="00F54243"/>
    <w:rsid w:val="00FC59B5"/>
    <w:rsid w:val="00FF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F3C1"/>
  <w15:chartTrackingRefBased/>
  <w15:docId w15:val="{3CE0E39A-9A64-46B1-9FFD-13A77F42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7BC"/>
    <w:pPr>
      <w:ind w:left="720"/>
      <w:contextualSpacing/>
    </w:pPr>
  </w:style>
  <w:style w:type="paragraph" w:styleId="Header">
    <w:name w:val="header"/>
    <w:basedOn w:val="Normal"/>
    <w:link w:val="HeaderChar"/>
    <w:uiPriority w:val="99"/>
    <w:unhideWhenUsed/>
    <w:rsid w:val="00C54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7BC"/>
  </w:style>
  <w:style w:type="paragraph" w:styleId="Footer">
    <w:name w:val="footer"/>
    <w:basedOn w:val="Normal"/>
    <w:link w:val="FooterChar"/>
    <w:uiPriority w:val="99"/>
    <w:unhideWhenUsed/>
    <w:rsid w:val="00C54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49489">
      <w:bodyDiv w:val="1"/>
      <w:marLeft w:val="0"/>
      <w:marRight w:val="0"/>
      <w:marTop w:val="0"/>
      <w:marBottom w:val="0"/>
      <w:divBdr>
        <w:top w:val="none" w:sz="0" w:space="0" w:color="auto"/>
        <w:left w:val="none" w:sz="0" w:space="0" w:color="auto"/>
        <w:bottom w:val="none" w:sz="0" w:space="0" w:color="auto"/>
        <w:right w:val="none" w:sz="0" w:space="0" w:color="auto"/>
      </w:divBdr>
      <w:divsChild>
        <w:div w:id="557284347">
          <w:marLeft w:val="0"/>
          <w:marRight w:val="0"/>
          <w:marTop w:val="0"/>
          <w:marBottom w:val="0"/>
          <w:divBdr>
            <w:top w:val="none" w:sz="0" w:space="0" w:color="auto"/>
            <w:left w:val="none" w:sz="0" w:space="0" w:color="auto"/>
            <w:bottom w:val="none" w:sz="0" w:space="0" w:color="auto"/>
            <w:right w:val="none" w:sz="0" w:space="0" w:color="auto"/>
          </w:divBdr>
        </w:div>
      </w:divsChild>
    </w:div>
    <w:div w:id="235745534">
      <w:bodyDiv w:val="1"/>
      <w:marLeft w:val="0"/>
      <w:marRight w:val="0"/>
      <w:marTop w:val="0"/>
      <w:marBottom w:val="0"/>
      <w:divBdr>
        <w:top w:val="none" w:sz="0" w:space="0" w:color="auto"/>
        <w:left w:val="none" w:sz="0" w:space="0" w:color="auto"/>
        <w:bottom w:val="none" w:sz="0" w:space="0" w:color="auto"/>
        <w:right w:val="none" w:sz="0" w:space="0" w:color="auto"/>
      </w:divBdr>
      <w:divsChild>
        <w:div w:id="1744985215">
          <w:marLeft w:val="0"/>
          <w:marRight w:val="0"/>
          <w:marTop w:val="0"/>
          <w:marBottom w:val="0"/>
          <w:divBdr>
            <w:top w:val="none" w:sz="0" w:space="0" w:color="auto"/>
            <w:left w:val="none" w:sz="0" w:space="0" w:color="auto"/>
            <w:bottom w:val="none" w:sz="0" w:space="0" w:color="auto"/>
            <w:right w:val="none" w:sz="0" w:space="0" w:color="auto"/>
          </w:divBdr>
        </w:div>
      </w:divsChild>
    </w:div>
    <w:div w:id="83869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ZGH4N\Documents\Investing\Maithan%20Alloys\Maithan_Financial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Operating Marging vs Raw Material Cost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Graphs!$A$86</c:f>
              <c:strCache>
                <c:ptCount val="1"/>
                <c:pt idx="0">
                  <c:v>Operating Profit Margin(OPM%)</c:v>
                </c:pt>
              </c:strCache>
            </c:strRef>
          </c:tx>
          <c:spPr>
            <a:ln w="28575" cap="rnd">
              <a:solidFill>
                <a:schemeClr val="accent1"/>
              </a:solidFill>
              <a:round/>
            </a:ln>
            <a:effectLst/>
          </c:spPr>
          <c:marker>
            <c:symbol val="none"/>
          </c:marker>
          <c:cat>
            <c:numRef>
              <c:f>Graphs!$B$85:$M$85</c:f>
              <c:numCache>
                <c:formatCode>[$-409]mmm\-yy;@</c:formatCode>
                <c:ptCount val="12"/>
                <c:pt idx="0">
                  <c:v>39508</c:v>
                </c:pt>
                <c:pt idx="1">
                  <c:v>39873</c:v>
                </c:pt>
                <c:pt idx="2">
                  <c:v>40238</c:v>
                </c:pt>
                <c:pt idx="3">
                  <c:v>40603</c:v>
                </c:pt>
                <c:pt idx="4">
                  <c:v>40969</c:v>
                </c:pt>
                <c:pt idx="5">
                  <c:v>41334</c:v>
                </c:pt>
                <c:pt idx="6">
                  <c:v>41699</c:v>
                </c:pt>
                <c:pt idx="7">
                  <c:v>42064</c:v>
                </c:pt>
                <c:pt idx="8">
                  <c:v>42430</c:v>
                </c:pt>
                <c:pt idx="9">
                  <c:v>42795</c:v>
                </c:pt>
                <c:pt idx="10">
                  <c:v>43160</c:v>
                </c:pt>
                <c:pt idx="11">
                  <c:v>43526</c:v>
                </c:pt>
              </c:numCache>
            </c:numRef>
          </c:cat>
          <c:val>
            <c:numRef>
              <c:f>Graphs!$B$86:$M$86</c:f>
              <c:numCache>
                <c:formatCode>0%</c:formatCode>
                <c:ptCount val="12"/>
                <c:pt idx="0">
                  <c:v>0.1856763925729443</c:v>
                </c:pt>
                <c:pt idx="1">
                  <c:v>2.6438569206842923E-2</c:v>
                </c:pt>
                <c:pt idx="2">
                  <c:v>0.11740041928721175</c:v>
                </c:pt>
                <c:pt idx="3">
                  <c:v>0.17520661157024794</c:v>
                </c:pt>
                <c:pt idx="4">
                  <c:v>9.8068350668647844E-2</c:v>
                </c:pt>
                <c:pt idx="5">
                  <c:v>9.0717299578059074E-2</c:v>
                </c:pt>
                <c:pt idx="6">
                  <c:v>5.5381400208986416E-2</c:v>
                </c:pt>
                <c:pt idx="7">
                  <c:v>0.10335448776065277</c:v>
                </c:pt>
                <c:pt idx="8">
                  <c:v>0.11518324607329843</c:v>
                </c:pt>
                <c:pt idx="9">
                  <c:v>0.20418848167539266</c:v>
                </c:pt>
                <c:pt idx="10">
                  <c:v>0.20608649225840897</c:v>
                </c:pt>
                <c:pt idx="11">
                  <c:v>0.16422435573521982</c:v>
                </c:pt>
              </c:numCache>
            </c:numRef>
          </c:val>
          <c:smooth val="0"/>
          <c:extLst>
            <c:ext xmlns:c16="http://schemas.microsoft.com/office/drawing/2014/chart" uri="{C3380CC4-5D6E-409C-BE32-E72D297353CC}">
              <c16:uniqueId val="{00000000-BF64-4F39-B170-150301D6725C}"/>
            </c:ext>
          </c:extLst>
        </c:ser>
        <c:ser>
          <c:idx val="1"/>
          <c:order val="1"/>
          <c:tx>
            <c:strRef>
              <c:f>Graphs!$A$87</c:f>
              <c:strCache>
                <c:ptCount val="1"/>
                <c:pt idx="0">
                  <c:v>Raw Material Cost (% of Sales)</c:v>
                </c:pt>
              </c:strCache>
            </c:strRef>
          </c:tx>
          <c:spPr>
            <a:ln w="28575" cap="rnd">
              <a:solidFill>
                <a:schemeClr val="accent2"/>
              </a:solidFill>
              <a:round/>
            </a:ln>
            <a:effectLst/>
          </c:spPr>
          <c:marker>
            <c:symbol val="none"/>
          </c:marker>
          <c:cat>
            <c:numRef>
              <c:f>Graphs!$B$85:$M$85</c:f>
              <c:numCache>
                <c:formatCode>[$-409]mmm\-yy;@</c:formatCode>
                <c:ptCount val="12"/>
                <c:pt idx="0">
                  <c:v>39508</c:v>
                </c:pt>
                <c:pt idx="1">
                  <c:v>39873</c:v>
                </c:pt>
                <c:pt idx="2">
                  <c:v>40238</c:v>
                </c:pt>
                <c:pt idx="3">
                  <c:v>40603</c:v>
                </c:pt>
                <c:pt idx="4">
                  <c:v>40969</c:v>
                </c:pt>
                <c:pt idx="5">
                  <c:v>41334</c:v>
                </c:pt>
                <c:pt idx="6">
                  <c:v>41699</c:v>
                </c:pt>
                <c:pt idx="7">
                  <c:v>42064</c:v>
                </c:pt>
                <c:pt idx="8">
                  <c:v>42430</c:v>
                </c:pt>
                <c:pt idx="9">
                  <c:v>42795</c:v>
                </c:pt>
                <c:pt idx="10">
                  <c:v>43160</c:v>
                </c:pt>
                <c:pt idx="11">
                  <c:v>43526</c:v>
                </c:pt>
              </c:numCache>
            </c:numRef>
          </c:cat>
          <c:val>
            <c:numRef>
              <c:f>Graphs!$B$87:$M$87</c:f>
              <c:numCache>
                <c:formatCode>0%</c:formatCode>
                <c:ptCount val="12"/>
                <c:pt idx="0">
                  <c:v>0.22359999999999999</c:v>
                </c:pt>
                <c:pt idx="1">
                  <c:v>0.13539999999999999</c:v>
                </c:pt>
                <c:pt idx="2">
                  <c:v>0.29409999999999997</c:v>
                </c:pt>
                <c:pt idx="3">
                  <c:v>0.1913</c:v>
                </c:pt>
                <c:pt idx="4">
                  <c:v>0.2515</c:v>
                </c:pt>
                <c:pt idx="5">
                  <c:v>0.27300000000000002</c:v>
                </c:pt>
                <c:pt idx="6">
                  <c:v>0.31559999999999999</c:v>
                </c:pt>
                <c:pt idx="7">
                  <c:v>0.30520000000000003</c:v>
                </c:pt>
                <c:pt idx="8">
                  <c:v>0.29449999999999998</c:v>
                </c:pt>
                <c:pt idx="9">
                  <c:v>0.23200000000000001</c:v>
                </c:pt>
                <c:pt idx="10">
                  <c:v>0.21099999999999999</c:v>
                </c:pt>
                <c:pt idx="11">
                  <c:v>0.20530000000000001</c:v>
                </c:pt>
              </c:numCache>
            </c:numRef>
          </c:val>
          <c:smooth val="0"/>
          <c:extLst>
            <c:ext xmlns:c16="http://schemas.microsoft.com/office/drawing/2014/chart" uri="{C3380CC4-5D6E-409C-BE32-E72D297353CC}">
              <c16:uniqueId val="{00000001-BF64-4F39-B170-150301D6725C}"/>
            </c:ext>
          </c:extLst>
        </c:ser>
        <c:dLbls>
          <c:showLegendKey val="0"/>
          <c:showVal val="0"/>
          <c:showCatName val="0"/>
          <c:showSerName val="0"/>
          <c:showPercent val="0"/>
          <c:showBubbleSize val="0"/>
        </c:dLbls>
        <c:smooth val="0"/>
        <c:axId val="784822376"/>
        <c:axId val="708693112"/>
      </c:lineChart>
      <c:dateAx>
        <c:axId val="784822376"/>
        <c:scaling>
          <c:orientation val="minMax"/>
        </c:scaling>
        <c:delete val="0"/>
        <c:axPos val="b"/>
        <c:numFmt formatCode="[$-409]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693112"/>
        <c:crosses val="autoZero"/>
        <c:auto val="1"/>
        <c:lblOffset val="100"/>
        <c:baseTimeUnit val="years"/>
      </c:dateAx>
      <c:valAx>
        <c:axId val="708693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822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3649</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 Aritra</dc:creator>
  <cp:keywords/>
  <dc:description/>
  <cp:lastModifiedBy>Pal, Aritra</cp:lastModifiedBy>
  <cp:revision>183</cp:revision>
  <dcterms:created xsi:type="dcterms:W3CDTF">2020-02-04T02:44:00Z</dcterms:created>
  <dcterms:modified xsi:type="dcterms:W3CDTF">2020-03-06T15:50:00Z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0fe3c247-a258-4566-b57e-1c5917bae030</vt:lpwstr>
  </property>
  <property fmtid="{D5CDD505-2E9C-101B-9397-08002B2CF9AE}" pid="3" name="AllyClassification">
    <vt:lpwstr>PR</vt:lpwstr>
  </property>
</Properties>
</file>