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0E" w:rsidRDefault="00EC2252">
      <w:pPr>
        <w:rPr>
          <w:i/>
        </w:rPr>
      </w:pPr>
      <w:r>
        <w:t xml:space="preserve">                                                                </w:t>
      </w:r>
      <w:proofErr w:type="gramStart"/>
      <w:r w:rsidRPr="00EC2252">
        <w:rPr>
          <w:b/>
          <w:sz w:val="36"/>
          <w:szCs w:val="36"/>
        </w:rPr>
        <w:t>FIEM</w:t>
      </w:r>
      <w:r>
        <w:rPr>
          <w:b/>
          <w:sz w:val="36"/>
          <w:szCs w:val="36"/>
        </w:rPr>
        <w:t xml:space="preserve">  </w:t>
      </w:r>
      <w:r w:rsidRPr="00EC2252">
        <w:rPr>
          <w:i/>
        </w:rPr>
        <w:t>-</w:t>
      </w:r>
      <w:proofErr w:type="gramEnd"/>
      <w:r>
        <w:rPr>
          <w:i/>
        </w:rPr>
        <w:t>making cars look beautiful…</w:t>
      </w:r>
    </w:p>
    <w:p w:rsidR="00EC2252" w:rsidRDefault="00EC2252">
      <w:pPr>
        <w:rPr>
          <w:b/>
        </w:rPr>
      </w:pPr>
      <w:r w:rsidRPr="00EC2252">
        <w:rPr>
          <w:b/>
          <w:u w:val="single"/>
        </w:rPr>
        <w:t>Company Snapshot</w:t>
      </w:r>
      <w:r>
        <w:rPr>
          <w:b/>
        </w:rPr>
        <w:t xml:space="preserve"> –</w:t>
      </w:r>
    </w:p>
    <w:p w:rsidR="00EC2252" w:rsidRDefault="00EC2252">
      <w:pPr>
        <w:rPr>
          <w:b/>
        </w:rPr>
      </w:pPr>
      <w:r>
        <w:t xml:space="preserve">FIEM is one of the leading manufacturers of Automotive Lighting &amp; </w:t>
      </w:r>
      <w:proofErr w:type="spellStart"/>
      <w:r>
        <w:t>Signalling</w:t>
      </w:r>
      <w:proofErr w:type="spellEnd"/>
      <w:r>
        <w:t xml:space="preserve"> Equipments and Rear View Mirrors in India. FIEM is among first companies in India introducing LED lights in two wheelers. FIEM has diversified its product portfolio by entering into LED </w:t>
      </w:r>
      <w:proofErr w:type="spellStart"/>
      <w:r>
        <w:t>luminaires</w:t>
      </w:r>
      <w:proofErr w:type="spellEnd"/>
      <w:r>
        <w:t xml:space="preserve"> for Indoor and Outdoor applications and Integrated Passenger Information System for Railways &amp; Buses.</w:t>
      </w:r>
      <w:r>
        <w:rPr>
          <w:b/>
        </w:rPr>
        <w:t xml:space="preserve"> </w:t>
      </w:r>
    </w:p>
    <w:p w:rsidR="004B0789" w:rsidRPr="004B0789" w:rsidRDefault="004B0789">
      <w:pPr>
        <w:rPr>
          <w:b/>
          <w:u w:val="single"/>
        </w:rPr>
      </w:pPr>
      <w:r w:rsidRPr="004B0789">
        <w:rPr>
          <w:b/>
          <w:u w:val="single"/>
        </w:rPr>
        <w:t>Products</w:t>
      </w:r>
      <w:r w:rsidRPr="004B0789">
        <w:rPr>
          <w:b/>
        </w:rPr>
        <w:t xml:space="preserve"> -</w:t>
      </w:r>
      <w:r>
        <w:rPr>
          <w:b/>
          <w:u w:val="single"/>
        </w:rPr>
        <w:t xml:space="preserve"> </w:t>
      </w:r>
    </w:p>
    <w:p w:rsidR="00EC2252" w:rsidRDefault="00EC2252">
      <w:pPr>
        <w:rPr>
          <w:b/>
        </w:rPr>
      </w:pPr>
      <w:r>
        <w:rPr>
          <w:b/>
          <w:noProof/>
        </w:rPr>
        <w:drawing>
          <wp:inline distT="0" distB="0" distL="0" distR="0">
            <wp:extent cx="5490997" cy="1842447"/>
            <wp:effectExtent l="0" t="0" r="14453" b="5403"/>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B0789" w:rsidRDefault="004B0789">
      <w:pPr>
        <w:rPr>
          <w:b/>
        </w:rPr>
      </w:pPr>
      <w:r w:rsidRPr="004B0789">
        <w:rPr>
          <w:b/>
          <w:u w:val="single"/>
        </w:rPr>
        <w:t>Raw Material</w:t>
      </w:r>
      <w:r>
        <w:rPr>
          <w:b/>
        </w:rPr>
        <w:t xml:space="preserve"> –</w:t>
      </w:r>
    </w:p>
    <w:p w:rsidR="004B0789" w:rsidRDefault="004B0789">
      <w:pPr>
        <w:rPr>
          <w:b/>
        </w:rPr>
      </w:pPr>
      <w:r>
        <w:rPr>
          <w:b/>
        </w:rPr>
        <w:t xml:space="preserve">FIEM has backward integrated facilities for almost all its operations. For instance it manufactures </w:t>
      </w:r>
      <w:proofErr w:type="gramStart"/>
      <w:r>
        <w:rPr>
          <w:b/>
        </w:rPr>
        <w:t>drivers which is</w:t>
      </w:r>
      <w:proofErr w:type="gramEnd"/>
      <w:r>
        <w:rPr>
          <w:b/>
        </w:rPr>
        <w:t xml:space="preserve"> the main input in a LED bulb – which no company in India manufactures. Even in case of IPIs and auto lamps, FIEM sources raw materials like plastics, glass, etc. and manufactures from end to end which yields 2-3% additional margins for their stakeholders. Company enjoys the fall in crude prices currently and has good bargaining power with the suppliers.</w:t>
      </w:r>
    </w:p>
    <w:p w:rsidR="004B0789" w:rsidRDefault="004B0789">
      <w:pPr>
        <w:rPr>
          <w:b/>
          <w:u w:val="single"/>
        </w:rPr>
      </w:pPr>
      <w:r w:rsidRPr="004B0789">
        <w:rPr>
          <w:b/>
          <w:u w:val="single"/>
        </w:rPr>
        <w:t>Valuations</w:t>
      </w:r>
      <w:r w:rsidRPr="004B0789">
        <w:rPr>
          <w:b/>
        </w:rPr>
        <w:t xml:space="preserve"> </w:t>
      </w:r>
      <w:r>
        <w:rPr>
          <w:b/>
        </w:rPr>
        <w:t>–</w:t>
      </w:r>
      <w:r w:rsidRPr="004B0789">
        <w:rPr>
          <w:b/>
          <w:u w:val="single"/>
        </w:rPr>
        <w:t xml:space="preserve"> </w:t>
      </w:r>
    </w:p>
    <w:tbl>
      <w:tblPr>
        <w:tblW w:w="7327" w:type="dxa"/>
        <w:tblInd w:w="97" w:type="dxa"/>
        <w:tblLook w:val="04A0"/>
      </w:tblPr>
      <w:tblGrid>
        <w:gridCol w:w="960"/>
        <w:gridCol w:w="3387"/>
        <w:gridCol w:w="2020"/>
        <w:gridCol w:w="1010"/>
      </w:tblGrid>
      <w:tr w:rsidR="00361575" w:rsidRPr="00361575" w:rsidTr="00361575">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proofErr w:type="spellStart"/>
            <w:r w:rsidRPr="00361575">
              <w:rPr>
                <w:rFonts w:ascii="Calibri" w:eastAsia="Times New Roman" w:hAnsi="Calibri" w:cs="Calibri"/>
                <w:b/>
                <w:bCs/>
                <w:color w:val="000000"/>
              </w:rPr>
              <w:t>Sr.No</w:t>
            </w:r>
            <w:proofErr w:type="spellEnd"/>
            <w:r w:rsidRPr="00361575">
              <w:rPr>
                <w:rFonts w:ascii="Calibri" w:eastAsia="Times New Roman" w:hAnsi="Calibri" w:cs="Calibri"/>
                <w:b/>
                <w:bCs/>
                <w:color w:val="000000"/>
              </w:rPr>
              <w:t>.</w:t>
            </w:r>
          </w:p>
        </w:tc>
        <w:tc>
          <w:tcPr>
            <w:tcW w:w="3387" w:type="dxa"/>
            <w:tcBorders>
              <w:top w:val="single" w:sz="8" w:space="0" w:color="auto"/>
              <w:left w:val="nil"/>
              <w:bottom w:val="single" w:sz="8" w:space="0" w:color="auto"/>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Particulars</w:t>
            </w:r>
          </w:p>
        </w:tc>
        <w:tc>
          <w:tcPr>
            <w:tcW w:w="2020" w:type="dxa"/>
            <w:tcBorders>
              <w:top w:val="single" w:sz="8" w:space="0" w:color="auto"/>
              <w:left w:val="nil"/>
              <w:bottom w:val="single" w:sz="8" w:space="0" w:color="auto"/>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Value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Remarks</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 </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 </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proofErr w:type="spellStart"/>
            <w:r w:rsidRPr="00361575">
              <w:rPr>
                <w:rFonts w:ascii="Calibri" w:eastAsia="Times New Roman" w:hAnsi="Calibri" w:cs="Calibri"/>
                <w:color w:val="000000"/>
              </w:rPr>
              <w:t>M.Cap</w:t>
            </w:r>
            <w:proofErr w:type="spellEnd"/>
            <w:r w:rsidRPr="00361575">
              <w:rPr>
                <w:rFonts w:ascii="Calibri" w:eastAsia="Times New Roman" w:hAnsi="Calibri" w:cs="Calibri"/>
                <w:color w:val="000000"/>
              </w:rPr>
              <w:t>.</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917.87</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YES</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Debt-Equity Ratio</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0.55</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YES</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3</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 xml:space="preserve">TTM EPS </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35.52</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 </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4</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 xml:space="preserve">TTM P/E </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21.56</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YES</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5</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Equity Capital</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11.96</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 </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6</w:t>
            </w:r>
          </w:p>
        </w:tc>
        <w:tc>
          <w:tcPr>
            <w:tcW w:w="3387" w:type="dxa"/>
            <w:tcBorders>
              <w:top w:val="nil"/>
              <w:left w:val="nil"/>
              <w:bottom w:val="nil"/>
              <w:right w:val="nil"/>
            </w:tcBorders>
            <w:shd w:val="clear" w:color="auto" w:fill="auto"/>
            <w:noWrap/>
            <w:vAlign w:val="bottom"/>
            <w:hideMark/>
          </w:tcPr>
          <w:p w:rsidR="00361575" w:rsidRPr="00361575" w:rsidRDefault="00D026E0"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Dividend</w:t>
            </w:r>
            <w:r w:rsidR="00361575" w:rsidRPr="00361575">
              <w:rPr>
                <w:rFonts w:ascii="Calibri" w:eastAsia="Times New Roman" w:hAnsi="Calibri" w:cs="Calibri"/>
                <w:color w:val="000000"/>
              </w:rPr>
              <w:t xml:space="preserve"> Yield</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0.91</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YES</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7</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 xml:space="preserve">TTM Price/Sales </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0.876571429</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Good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8</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ROE</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21.35%</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YES</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9</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ROCE</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22.32%</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YES</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10</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OPM last year</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12.45%</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 </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lastRenderedPageBreak/>
              <w:t>11</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TTM OPM</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12.45%</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Good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12</w:t>
            </w:r>
          </w:p>
        </w:tc>
        <w:tc>
          <w:tcPr>
            <w:tcW w:w="3387" w:type="dxa"/>
            <w:tcBorders>
              <w:top w:val="nil"/>
              <w:left w:val="nil"/>
              <w:bottom w:val="nil"/>
              <w:right w:val="nil"/>
            </w:tcBorders>
            <w:shd w:val="clear" w:color="auto" w:fill="auto"/>
            <w:noWrap/>
            <w:vAlign w:val="bottom"/>
            <w:hideMark/>
          </w:tcPr>
          <w:p w:rsidR="00361575" w:rsidRPr="00361575" w:rsidRDefault="00361575" w:rsidP="00D026E0">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NPM las</w:t>
            </w:r>
            <w:r w:rsidR="00D026E0">
              <w:rPr>
                <w:rFonts w:ascii="Calibri" w:eastAsia="Times New Roman" w:hAnsi="Calibri" w:cs="Calibri"/>
                <w:color w:val="000000"/>
              </w:rPr>
              <w:t>t</w:t>
            </w:r>
            <w:r w:rsidRPr="00361575">
              <w:rPr>
                <w:rFonts w:ascii="Calibri" w:eastAsia="Times New Roman" w:hAnsi="Calibri" w:cs="Calibri"/>
                <w:color w:val="000000"/>
              </w:rPr>
              <w:t xml:space="preserve"> year</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5.15%</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 </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13</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TTM NPM</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5.12%</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Good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14</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3 years</w:t>
            </w:r>
            <w:r w:rsidR="00D026E0">
              <w:rPr>
                <w:rFonts w:ascii="Calibri" w:eastAsia="Times New Roman" w:hAnsi="Calibri" w:cs="Calibri"/>
                <w:color w:val="000000"/>
              </w:rPr>
              <w:t xml:space="preserve"> </w:t>
            </w:r>
            <w:r w:rsidRPr="00361575">
              <w:rPr>
                <w:rFonts w:ascii="Calibri" w:eastAsia="Times New Roman" w:hAnsi="Calibri" w:cs="Calibri"/>
                <w:color w:val="000000"/>
              </w:rPr>
              <w:t>Cash flows</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230.00</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 </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15</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Operating Cash Flow last year</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82.10</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YES</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16</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3 years Sales growth</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15.54%</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YES</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17</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TTM Sales growth</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14.57%</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Good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18</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3 years profit growth</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26%</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Good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19</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TTM Profit Growth</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14%</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Bad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20</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Interest Coverage Ratio</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6.05</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Good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21</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Debtors/Sales Ratio last year</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11%</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Good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22</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 xml:space="preserve">Debtors/Sales Ratio </w:t>
            </w:r>
            <w:r w:rsidR="00B8317E" w:rsidRPr="00361575">
              <w:rPr>
                <w:rFonts w:ascii="Calibri" w:eastAsia="Times New Roman" w:hAnsi="Calibri" w:cs="Calibri"/>
                <w:color w:val="000000"/>
              </w:rPr>
              <w:t>preceding</w:t>
            </w:r>
            <w:r w:rsidRPr="00361575">
              <w:rPr>
                <w:rFonts w:ascii="Calibri" w:eastAsia="Times New Roman" w:hAnsi="Calibri" w:cs="Calibri"/>
                <w:color w:val="000000"/>
              </w:rPr>
              <w:t xml:space="preserve"> year</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11%</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Good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23</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EBIDA/OCF</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1.0348</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Good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24</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Other Current Assets/Sales Ratio</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0%</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Good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25</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Asset turnover ratio</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2.76</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Good</w:t>
            </w:r>
          </w:p>
        </w:tc>
      </w:tr>
      <w:tr w:rsidR="00361575" w:rsidRPr="00361575" w:rsidTr="00361575">
        <w:trPr>
          <w:trHeight w:val="300"/>
        </w:trPr>
        <w:tc>
          <w:tcPr>
            <w:tcW w:w="960" w:type="dxa"/>
            <w:tcBorders>
              <w:top w:val="nil"/>
              <w:left w:val="single" w:sz="8" w:space="0" w:color="auto"/>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26</w:t>
            </w:r>
          </w:p>
        </w:tc>
        <w:tc>
          <w:tcPr>
            <w:tcW w:w="3387"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Financial Leverage</w:t>
            </w:r>
          </w:p>
        </w:tc>
        <w:tc>
          <w:tcPr>
            <w:tcW w:w="2020" w:type="dxa"/>
            <w:tcBorders>
              <w:top w:val="nil"/>
              <w:left w:val="nil"/>
              <w:bottom w:val="nil"/>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1.35</w:t>
            </w:r>
          </w:p>
        </w:tc>
        <w:tc>
          <w:tcPr>
            <w:tcW w:w="960" w:type="dxa"/>
            <w:tcBorders>
              <w:top w:val="nil"/>
              <w:left w:val="nil"/>
              <w:bottom w:val="nil"/>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 </w:t>
            </w:r>
          </w:p>
        </w:tc>
      </w:tr>
      <w:tr w:rsidR="00361575" w:rsidRPr="00361575" w:rsidTr="00361575">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27</w:t>
            </w:r>
          </w:p>
        </w:tc>
        <w:tc>
          <w:tcPr>
            <w:tcW w:w="3387" w:type="dxa"/>
            <w:tcBorders>
              <w:top w:val="nil"/>
              <w:left w:val="nil"/>
              <w:bottom w:val="single" w:sz="8" w:space="0" w:color="auto"/>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TTM Promoter Stake</w:t>
            </w:r>
          </w:p>
        </w:tc>
        <w:tc>
          <w:tcPr>
            <w:tcW w:w="2020" w:type="dxa"/>
            <w:tcBorders>
              <w:top w:val="nil"/>
              <w:left w:val="nil"/>
              <w:bottom w:val="single" w:sz="8" w:space="0" w:color="auto"/>
              <w:right w:val="nil"/>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color w:val="000000"/>
              </w:rPr>
            </w:pPr>
            <w:r w:rsidRPr="00361575">
              <w:rPr>
                <w:rFonts w:ascii="Calibri" w:eastAsia="Times New Roman" w:hAnsi="Calibri" w:cs="Calibri"/>
                <w:color w:val="000000"/>
              </w:rPr>
              <w:t>69.96%</w:t>
            </w:r>
          </w:p>
        </w:tc>
        <w:tc>
          <w:tcPr>
            <w:tcW w:w="960" w:type="dxa"/>
            <w:tcBorders>
              <w:top w:val="nil"/>
              <w:left w:val="nil"/>
              <w:bottom w:val="single" w:sz="8" w:space="0" w:color="auto"/>
              <w:right w:val="single" w:sz="8" w:space="0" w:color="auto"/>
            </w:tcBorders>
            <w:shd w:val="clear" w:color="auto" w:fill="auto"/>
            <w:noWrap/>
            <w:vAlign w:val="bottom"/>
            <w:hideMark/>
          </w:tcPr>
          <w:p w:rsidR="00361575" w:rsidRPr="00361575" w:rsidRDefault="00361575" w:rsidP="00361575">
            <w:pPr>
              <w:spacing w:after="0" w:line="240" w:lineRule="auto"/>
              <w:jc w:val="center"/>
              <w:rPr>
                <w:rFonts w:ascii="Calibri" w:eastAsia="Times New Roman" w:hAnsi="Calibri" w:cs="Calibri"/>
                <w:b/>
                <w:bCs/>
                <w:color w:val="000000"/>
              </w:rPr>
            </w:pPr>
            <w:r w:rsidRPr="00361575">
              <w:rPr>
                <w:rFonts w:ascii="Calibri" w:eastAsia="Times New Roman" w:hAnsi="Calibri" w:cs="Calibri"/>
                <w:b/>
                <w:bCs/>
                <w:color w:val="000000"/>
              </w:rPr>
              <w:t>YES</w:t>
            </w:r>
          </w:p>
        </w:tc>
      </w:tr>
    </w:tbl>
    <w:p w:rsidR="004B0789" w:rsidRDefault="004B0789">
      <w:pPr>
        <w:rPr>
          <w:b/>
          <w:u w:val="single"/>
        </w:rPr>
      </w:pPr>
    </w:p>
    <w:p w:rsidR="00361575" w:rsidRDefault="00361575">
      <w:pPr>
        <w:rPr>
          <w:b/>
        </w:rPr>
      </w:pPr>
      <w:r>
        <w:rPr>
          <w:b/>
          <w:u w:val="single"/>
        </w:rPr>
        <w:t>Financials</w:t>
      </w:r>
      <w:r w:rsidRPr="00361575">
        <w:rPr>
          <w:b/>
        </w:rPr>
        <w:t xml:space="preserve"> </w:t>
      </w:r>
      <w:r>
        <w:rPr>
          <w:b/>
        </w:rPr>
        <w:t>–</w:t>
      </w:r>
      <w:r w:rsidRPr="00361575">
        <w:rPr>
          <w:b/>
        </w:rPr>
        <w:t xml:space="preserve"> </w:t>
      </w:r>
    </w:p>
    <w:tbl>
      <w:tblPr>
        <w:tblW w:w="5000" w:type="pct"/>
        <w:tblCellSpacing w:w="7" w:type="dxa"/>
        <w:tblCellMar>
          <w:left w:w="0" w:type="dxa"/>
          <w:right w:w="0" w:type="dxa"/>
        </w:tblCellMar>
        <w:tblLook w:val="04A0"/>
      </w:tblPr>
      <w:tblGrid>
        <w:gridCol w:w="2505"/>
        <w:gridCol w:w="1411"/>
        <w:gridCol w:w="1412"/>
        <w:gridCol w:w="1412"/>
        <w:gridCol w:w="1412"/>
        <w:gridCol w:w="1412"/>
        <w:gridCol w:w="38"/>
      </w:tblGrid>
      <w:tr w:rsidR="00361575" w:rsidRPr="00361575" w:rsidTr="00361575">
        <w:trPr>
          <w:gridAfter w:val="1"/>
          <w:trHeight w:val="322"/>
          <w:tblCellSpacing w:w="7" w:type="dxa"/>
        </w:trPr>
        <w:tc>
          <w:tcPr>
            <w:tcW w:w="0" w:type="auto"/>
            <w:tcBorders>
              <w:top w:val="nil"/>
              <w:left w:val="nil"/>
              <w:bottom w:val="nil"/>
              <w:right w:val="nil"/>
            </w:tcBorders>
            <w:shd w:val="clear" w:color="auto" w:fill="016091"/>
            <w:tcMar>
              <w:top w:w="0" w:type="dxa"/>
              <w:left w:w="107" w:type="dxa"/>
              <w:bottom w:w="0" w:type="dxa"/>
              <w:right w:w="107" w:type="dxa"/>
            </w:tcMar>
            <w:vAlign w:val="center"/>
            <w:hideMark/>
          </w:tcPr>
          <w:p w:rsidR="00361575" w:rsidRPr="00361575" w:rsidRDefault="00361575" w:rsidP="00361575">
            <w:pPr>
              <w:spacing w:after="0" w:line="240" w:lineRule="auto"/>
              <w:jc w:val="center"/>
              <w:rPr>
                <w:rFonts w:ascii="Arial" w:eastAsia="Times New Roman" w:hAnsi="Arial" w:cs="Arial"/>
                <w:color w:val="FFFFFF"/>
                <w:sz w:val="13"/>
                <w:szCs w:val="13"/>
              </w:rPr>
            </w:pPr>
            <w:r w:rsidRPr="00361575">
              <w:rPr>
                <w:rFonts w:ascii="Arial" w:eastAsia="Times New Roman" w:hAnsi="Arial" w:cs="Arial"/>
                <w:b/>
                <w:bCs/>
                <w:color w:val="FFFFFF"/>
                <w:sz w:val="13"/>
                <w:szCs w:val="13"/>
                <w:bdr w:val="none" w:sz="0" w:space="0" w:color="auto" w:frame="1"/>
              </w:rPr>
              <w:t>(</w:t>
            </w:r>
            <w:proofErr w:type="gramStart"/>
            <w:r w:rsidRPr="00361575">
              <w:rPr>
                <w:rFonts w:ascii="Arial" w:eastAsia="Times New Roman" w:hAnsi="Arial" w:cs="Arial"/>
                <w:b/>
                <w:bCs/>
                <w:color w:val="FFFFFF"/>
                <w:sz w:val="13"/>
                <w:szCs w:val="13"/>
                <w:bdr w:val="none" w:sz="0" w:space="0" w:color="auto" w:frame="1"/>
              </w:rPr>
              <w:t>in</w:t>
            </w:r>
            <w:proofErr w:type="gramEnd"/>
            <w:r w:rsidRPr="00361575">
              <w:rPr>
                <w:rFonts w:ascii="Arial" w:eastAsia="Times New Roman" w:hAnsi="Arial" w:cs="Arial"/>
                <w:b/>
                <w:bCs/>
                <w:color w:val="FFFFFF"/>
                <w:sz w:val="13"/>
                <w:szCs w:val="13"/>
                <w:bdr w:val="none" w:sz="0" w:space="0" w:color="auto" w:frame="1"/>
              </w:rPr>
              <w:t xml:space="preserve"> Cr.)</w:t>
            </w:r>
          </w:p>
        </w:tc>
        <w:tc>
          <w:tcPr>
            <w:tcW w:w="0" w:type="auto"/>
            <w:tcBorders>
              <w:top w:val="nil"/>
              <w:left w:val="nil"/>
              <w:bottom w:val="nil"/>
              <w:right w:val="nil"/>
            </w:tcBorders>
            <w:shd w:val="clear" w:color="auto" w:fill="016091"/>
            <w:tcMar>
              <w:top w:w="0" w:type="dxa"/>
              <w:left w:w="107" w:type="dxa"/>
              <w:bottom w:w="0" w:type="dxa"/>
              <w:right w:w="107" w:type="dxa"/>
            </w:tcMar>
            <w:vAlign w:val="center"/>
            <w:hideMark/>
          </w:tcPr>
          <w:p w:rsidR="00361575" w:rsidRPr="00361575" w:rsidRDefault="00361575" w:rsidP="00361575">
            <w:pPr>
              <w:spacing w:after="0" w:line="240" w:lineRule="auto"/>
              <w:jc w:val="center"/>
              <w:rPr>
                <w:rFonts w:ascii="Arial" w:eastAsia="Times New Roman" w:hAnsi="Arial" w:cs="Arial"/>
                <w:color w:val="FFFFFF"/>
                <w:sz w:val="13"/>
                <w:szCs w:val="13"/>
              </w:rPr>
            </w:pPr>
            <w:r w:rsidRPr="00361575">
              <w:rPr>
                <w:rFonts w:ascii="Arial" w:eastAsia="Times New Roman" w:hAnsi="Arial" w:cs="Arial"/>
                <w:b/>
                <w:bCs/>
                <w:color w:val="FFFFFF"/>
                <w:sz w:val="13"/>
                <w:szCs w:val="13"/>
                <w:bdr w:val="none" w:sz="0" w:space="0" w:color="auto" w:frame="1"/>
              </w:rPr>
              <w:t>2015</w:t>
            </w:r>
          </w:p>
        </w:tc>
        <w:tc>
          <w:tcPr>
            <w:tcW w:w="0" w:type="auto"/>
            <w:tcBorders>
              <w:top w:val="nil"/>
              <w:left w:val="nil"/>
              <w:bottom w:val="nil"/>
              <w:right w:val="nil"/>
            </w:tcBorders>
            <w:shd w:val="clear" w:color="auto" w:fill="016091"/>
            <w:tcMar>
              <w:top w:w="0" w:type="dxa"/>
              <w:left w:w="107" w:type="dxa"/>
              <w:bottom w:w="0" w:type="dxa"/>
              <w:right w:w="107" w:type="dxa"/>
            </w:tcMar>
            <w:vAlign w:val="center"/>
            <w:hideMark/>
          </w:tcPr>
          <w:p w:rsidR="00361575" w:rsidRPr="00361575" w:rsidRDefault="00361575" w:rsidP="00361575">
            <w:pPr>
              <w:spacing w:after="0" w:line="240" w:lineRule="auto"/>
              <w:jc w:val="center"/>
              <w:rPr>
                <w:rFonts w:ascii="Arial" w:eastAsia="Times New Roman" w:hAnsi="Arial" w:cs="Arial"/>
                <w:color w:val="FFFFFF"/>
                <w:sz w:val="13"/>
                <w:szCs w:val="13"/>
              </w:rPr>
            </w:pPr>
            <w:r w:rsidRPr="00361575">
              <w:rPr>
                <w:rFonts w:ascii="Arial" w:eastAsia="Times New Roman" w:hAnsi="Arial" w:cs="Arial"/>
                <w:b/>
                <w:bCs/>
                <w:color w:val="FFFFFF"/>
                <w:sz w:val="13"/>
                <w:szCs w:val="13"/>
                <w:bdr w:val="none" w:sz="0" w:space="0" w:color="auto" w:frame="1"/>
              </w:rPr>
              <w:t>2014</w:t>
            </w:r>
          </w:p>
        </w:tc>
        <w:tc>
          <w:tcPr>
            <w:tcW w:w="0" w:type="auto"/>
            <w:tcBorders>
              <w:top w:val="nil"/>
              <w:left w:val="nil"/>
              <w:bottom w:val="nil"/>
              <w:right w:val="nil"/>
            </w:tcBorders>
            <w:shd w:val="clear" w:color="auto" w:fill="016091"/>
            <w:tcMar>
              <w:top w:w="0" w:type="dxa"/>
              <w:left w:w="107" w:type="dxa"/>
              <w:bottom w:w="0" w:type="dxa"/>
              <w:right w:w="107" w:type="dxa"/>
            </w:tcMar>
            <w:vAlign w:val="center"/>
            <w:hideMark/>
          </w:tcPr>
          <w:p w:rsidR="00361575" w:rsidRPr="00361575" w:rsidRDefault="00361575" w:rsidP="00361575">
            <w:pPr>
              <w:spacing w:after="0" w:line="240" w:lineRule="auto"/>
              <w:jc w:val="center"/>
              <w:rPr>
                <w:rFonts w:ascii="Arial" w:eastAsia="Times New Roman" w:hAnsi="Arial" w:cs="Arial"/>
                <w:color w:val="FFFFFF"/>
                <w:sz w:val="13"/>
                <w:szCs w:val="13"/>
              </w:rPr>
            </w:pPr>
            <w:r w:rsidRPr="00361575">
              <w:rPr>
                <w:rFonts w:ascii="Arial" w:eastAsia="Times New Roman" w:hAnsi="Arial" w:cs="Arial"/>
                <w:b/>
                <w:bCs/>
                <w:color w:val="FFFFFF"/>
                <w:sz w:val="13"/>
                <w:szCs w:val="13"/>
                <w:bdr w:val="none" w:sz="0" w:space="0" w:color="auto" w:frame="1"/>
              </w:rPr>
              <w:t>2013</w:t>
            </w:r>
          </w:p>
        </w:tc>
        <w:tc>
          <w:tcPr>
            <w:tcW w:w="0" w:type="auto"/>
            <w:tcBorders>
              <w:top w:val="nil"/>
              <w:left w:val="nil"/>
              <w:bottom w:val="nil"/>
              <w:right w:val="nil"/>
            </w:tcBorders>
            <w:shd w:val="clear" w:color="auto" w:fill="016091"/>
            <w:tcMar>
              <w:top w:w="0" w:type="dxa"/>
              <w:left w:w="107" w:type="dxa"/>
              <w:bottom w:w="0" w:type="dxa"/>
              <w:right w:w="107" w:type="dxa"/>
            </w:tcMar>
            <w:vAlign w:val="center"/>
            <w:hideMark/>
          </w:tcPr>
          <w:p w:rsidR="00361575" w:rsidRPr="00361575" w:rsidRDefault="00361575" w:rsidP="00361575">
            <w:pPr>
              <w:spacing w:after="0" w:line="240" w:lineRule="auto"/>
              <w:jc w:val="center"/>
              <w:rPr>
                <w:rFonts w:ascii="Arial" w:eastAsia="Times New Roman" w:hAnsi="Arial" w:cs="Arial"/>
                <w:color w:val="FFFFFF"/>
                <w:sz w:val="13"/>
                <w:szCs w:val="13"/>
              </w:rPr>
            </w:pPr>
            <w:r w:rsidRPr="00361575">
              <w:rPr>
                <w:rFonts w:ascii="Arial" w:eastAsia="Times New Roman" w:hAnsi="Arial" w:cs="Arial"/>
                <w:b/>
                <w:bCs/>
                <w:color w:val="FFFFFF"/>
                <w:sz w:val="13"/>
                <w:szCs w:val="13"/>
                <w:bdr w:val="none" w:sz="0" w:space="0" w:color="auto" w:frame="1"/>
              </w:rPr>
              <w:t>2012</w:t>
            </w:r>
          </w:p>
        </w:tc>
        <w:tc>
          <w:tcPr>
            <w:tcW w:w="0" w:type="auto"/>
            <w:tcBorders>
              <w:top w:val="nil"/>
              <w:left w:val="nil"/>
              <w:bottom w:val="nil"/>
              <w:right w:val="nil"/>
            </w:tcBorders>
            <w:shd w:val="clear" w:color="auto" w:fill="016091"/>
            <w:tcMar>
              <w:top w:w="0" w:type="dxa"/>
              <w:left w:w="107" w:type="dxa"/>
              <w:bottom w:w="0" w:type="dxa"/>
              <w:right w:w="107" w:type="dxa"/>
            </w:tcMar>
            <w:vAlign w:val="center"/>
            <w:hideMark/>
          </w:tcPr>
          <w:p w:rsidR="00361575" w:rsidRPr="00361575" w:rsidRDefault="00361575" w:rsidP="00361575">
            <w:pPr>
              <w:spacing w:after="0" w:line="240" w:lineRule="auto"/>
              <w:jc w:val="center"/>
              <w:rPr>
                <w:rFonts w:ascii="Arial" w:eastAsia="Times New Roman" w:hAnsi="Arial" w:cs="Arial"/>
                <w:color w:val="FFFFFF"/>
                <w:sz w:val="13"/>
                <w:szCs w:val="13"/>
              </w:rPr>
            </w:pPr>
            <w:r w:rsidRPr="00361575">
              <w:rPr>
                <w:rFonts w:ascii="Arial" w:eastAsia="Times New Roman" w:hAnsi="Arial" w:cs="Arial"/>
                <w:b/>
                <w:bCs/>
                <w:color w:val="FFFFFF"/>
                <w:sz w:val="13"/>
                <w:szCs w:val="13"/>
                <w:bdr w:val="none" w:sz="0" w:space="0" w:color="auto" w:frame="1"/>
              </w:rPr>
              <w:t>2011</w:t>
            </w:r>
          </w:p>
        </w:tc>
      </w:tr>
      <w:tr w:rsidR="00361575" w:rsidRPr="00361575" w:rsidTr="00361575">
        <w:trPr>
          <w:trHeight w:val="322"/>
          <w:tblCellSpacing w:w="7" w:type="dxa"/>
        </w:trPr>
        <w:tc>
          <w:tcPr>
            <w:tcW w:w="0" w:type="auto"/>
            <w:gridSpan w:val="7"/>
            <w:tcBorders>
              <w:top w:val="nil"/>
              <w:left w:val="nil"/>
              <w:bottom w:val="nil"/>
              <w:right w:val="nil"/>
            </w:tcBorders>
            <w:tcMar>
              <w:top w:w="0" w:type="dxa"/>
              <w:left w:w="54" w:type="dxa"/>
              <w:bottom w:w="0" w:type="dxa"/>
              <w:right w:w="54" w:type="dxa"/>
            </w:tcMar>
            <w:vAlign w:val="center"/>
            <w:hideMark/>
          </w:tcPr>
          <w:p w:rsidR="00361575" w:rsidRPr="00361575" w:rsidRDefault="00361575" w:rsidP="00361575">
            <w:pPr>
              <w:spacing w:after="0" w:line="240" w:lineRule="auto"/>
              <w:jc w:val="both"/>
              <w:rPr>
                <w:rFonts w:ascii="Arial" w:eastAsia="Times New Roman" w:hAnsi="Arial" w:cs="Arial"/>
                <w:color w:val="000000"/>
                <w:sz w:val="13"/>
                <w:szCs w:val="13"/>
              </w:rPr>
            </w:pPr>
            <w:r w:rsidRPr="00361575">
              <w:rPr>
                <w:rFonts w:ascii="Arial" w:eastAsia="Times New Roman" w:hAnsi="Arial" w:cs="Arial"/>
                <w:b/>
                <w:bCs/>
                <w:color w:val="000000"/>
                <w:sz w:val="13"/>
                <w:szCs w:val="13"/>
                <w:bdr w:val="none" w:sz="0" w:space="0" w:color="auto" w:frame="1"/>
              </w:rPr>
              <w:t>Income Statement</w:t>
            </w: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54"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Revenue</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824.77</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718.42</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602.22</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533.54</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421.04</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54"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Other Income</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0.90</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0.67</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0.35</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0.30</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0.26</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54"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Total Income</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825.67</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719.08</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602.57</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533.84</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421.30</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54"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Expenditure</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-722.34</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-629.94</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-532.35</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-465.89</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-383.04</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54"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Interest</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-12.04</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-14.44</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-12.93</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-20.76</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-9.50</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54"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PBDT</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91.29</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74.70</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57.29</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47.20</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28.76</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54"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Depreciation</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-30.63</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-21.79</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-18.35</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-16.88</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-12.98</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54"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PBT</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60.66</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52.92</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38.94</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30.32</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15.78</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54"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Tax</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-18.40</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-15.52</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-11.63</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-9.17</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-4.35</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54"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Net Profit</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42.26</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37.40</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27.31</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21.15</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11.43</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54"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Equity</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11.96</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11.96</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11.96</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11.96</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11.96</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322"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EPS</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35.33</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31.27</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22.83</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17.68</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9.55</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322"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CEPS</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60.94</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49.48</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38.17</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31.79</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20.40</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322"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OPM %</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12.53</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12.41</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11.66</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12.74</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9.09</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r w:rsidR="00361575" w:rsidRPr="00361575" w:rsidTr="00361575">
        <w:trPr>
          <w:trHeight w:val="322"/>
          <w:tblCellSpacing w:w="7" w:type="dxa"/>
        </w:trPr>
        <w:tc>
          <w:tcPr>
            <w:tcW w:w="0" w:type="auto"/>
            <w:tcBorders>
              <w:top w:val="nil"/>
              <w:left w:val="nil"/>
              <w:bottom w:val="nil"/>
              <w:right w:val="nil"/>
            </w:tcBorders>
            <w:shd w:val="clear" w:color="auto" w:fill="FFFFFF"/>
            <w:tcMar>
              <w:top w:w="0" w:type="dxa"/>
              <w:left w:w="322" w:type="dxa"/>
              <w:bottom w:w="0" w:type="dxa"/>
              <w:right w:w="54" w:type="dxa"/>
            </w:tcMar>
            <w:vAlign w:val="center"/>
            <w:hideMark/>
          </w:tcPr>
          <w:p w:rsidR="00361575" w:rsidRPr="00361575" w:rsidRDefault="00361575" w:rsidP="00361575">
            <w:pPr>
              <w:spacing w:after="0" w:line="240" w:lineRule="auto"/>
              <w:rPr>
                <w:rFonts w:ascii="Arial" w:eastAsia="Times New Roman" w:hAnsi="Arial" w:cs="Arial"/>
                <w:color w:val="000000"/>
                <w:sz w:val="13"/>
                <w:szCs w:val="13"/>
              </w:rPr>
            </w:pPr>
            <w:r w:rsidRPr="00361575">
              <w:rPr>
                <w:rFonts w:ascii="Arial" w:eastAsia="Times New Roman" w:hAnsi="Arial" w:cs="Arial"/>
                <w:color w:val="000000"/>
                <w:sz w:val="13"/>
                <w:szCs w:val="13"/>
              </w:rPr>
              <w:t>NPM %</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5.12</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5.21</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4.54</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3.96</w:t>
            </w:r>
          </w:p>
        </w:tc>
        <w:tc>
          <w:tcPr>
            <w:tcW w:w="0" w:type="auto"/>
            <w:tcBorders>
              <w:top w:val="nil"/>
              <w:left w:val="nil"/>
              <w:bottom w:val="nil"/>
              <w:right w:val="nil"/>
            </w:tcBorders>
            <w:shd w:val="clear" w:color="auto" w:fill="FFFFFF"/>
            <w:tcMar>
              <w:top w:w="0" w:type="dxa"/>
              <w:left w:w="0" w:type="dxa"/>
              <w:bottom w:w="0" w:type="dxa"/>
              <w:right w:w="54" w:type="dxa"/>
            </w:tcMar>
            <w:vAlign w:val="center"/>
            <w:hideMark/>
          </w:tcPr>
          <w:p w:rsidR="00361575" w:rsidRPr="00361575" w:rsidRDefault="00361575" w:rsidP="00361575">
            <w:pPr>
              <w:spacing w:after="0" w:line="240" w:lineRule="auto"/>
              <w:jc w:val="right"/>
              <w:rPr>
                <w:rFonts w:ascii="Arial" w:eastAsia="Times New Roman" w:hAnsi="Arial" w:cs="Arial"/>
                <w:color w:val="000000"/>
                <w:sz w:val="13"/>
                <w:szCs w:val="13"/>
              </w:rPr>
            </w:pPr>
            <w:r w:rsidRPr="00361575">
              <w:rPr>
                <w:rFonts w:ascii="Arial" w:eastAsia="Times New Roman" w:hAnsi="Arial" w:cs="Arial"/>
                <w:color w:val="000000"/>
                <w:sz w:val="13"/>
                <w:szCs w:val="13"/>
              </w:rPr>
              <w:t>2.71</w:t>
            </w:r>
          </w:p>
        </w:tc>
        <w:tc>
          <w:tcPr>
            <w:tcW w:w="0" w:type="auto"/>
            <w:vAlign w:val="center"/>
            <w:hideMark/>
          </w:tcPr>
          <w:p w:rsidR="00361575" w:rsidRPr="00361575" w:rsidRDefault="00361575" w:rsidP="00361575">
            <w:pPr>
              <w:spacing w:after="0" w:line="240" w:lineRule="auto"/>
              <w:rPr>
                <w:rFonts w:ascii="Times New Roman" w:eastAsia="Times New Roman" w:hAnsi="Times New Roman" w:cs="Times New Roman"/>
                <w:sz w:val="20"/>
                <w:szCs w:val="20"/>
              </w:rPr>
            </w:pPr>
          </w:p>
        </w:tc>
      </w:tr>
    </w:tbl>
    <w:p w:rsidR="00361575" w:rsidRDefault="00361575">
      <w:pPr>
        <w:rPr>
          <w:b/>
          <w:u w:val="single"/>
        </w:rPr>
      </w:pPr>
    </w:p>
    <w:p w:rsidR="00361575" w:rsidRDefault="00361575">
      <w:pPr>
        <w:rPr>
          <w:b/>
          <w:u w:val="single"/>
        </w:rPr>
      </w:pPr>
    </w:p>
    <w:p w:rsidR="00361575" w:rsidRDefault="00361575">
      <w:pPr>
        <w:rPr>
          <w:b/>
        </w:rPr>
      </w:pPr>
      <w:proofErr w:type="spellStart"/>
      <w:r>
        <w:rPr>
          <w:b/>
          <w:u w:val="single"/>
        </w:rPr>
        <w:lastRenderedPageBreak/>
        <w:t>Trigers</w:t>
      </w:r>
      <w:proofErr w:type="spellEnd"/>
      <w:r>
        <w:rPr>
          <w:b/>
          <w:u w:val="single"/>
        </w:rPr>
        <w:t>/Expansion</w:t>
      </w:r>
      <w:r w:rsidRPr="00361575">
        <w:rPr>
          <w:b/>
        </w:rPr>
        <w:t xml:space="preserve"> </w:t>
      </w:r>
      <w:r>
        <w:rPr>
          <w:b/>
        </w:rPr>
        <w:t>–</w:t>
      </w:r>
      <w:r w:rsidRPr="00361575">
        <w:rPr>
          <w:b/>
        </w:rPr>
        <w:t xml:space="preserve"> </w:t>
      </w:r>
    </w:p>
    <w:p w:rsidR="00361575" w:rsidRDefault="00361575" w:rsidP="00361575">
      <w:pPr>
        <w:pStyle w:val="ListParagraph"/>
        <w:numPr>
          <w:ilvl w:val="0"/>
          <w:numId w:val="1"/>
        </w:numPr>
      </w:pPr>
      <w:r w:rsidRPr="00361575">
        <w:t>Gujarat plant commenced</w:t>
      </w:r>
      <w:r w:rsidR="00AF2F59">
        <w:t xml:space="preserve"> this year at a </w:t>
      </w:r>
      <w:proofErr w:type="spellStart"/>
      <w:r w:rsidR="00AF2F59">
        <w:t>capex</w:t>
      </w:r>
      <w:proofErr w:type="spellEnd"/>
      <w:r w:rsidR="00AF2F59">
        <w:t xml:space="preserve"> of 60 </w:t>
      </w:r>
      <w:proofErr w:type="spellStart"/>
      <w:r w:rsidR="00AF2F59">
        <w:t>crores</w:t>
      </w:r>
      <w:proofErr w:type="spellEnd"/>
      <w:r w:rsidR="00AF2F59">
        <w:t xml:space="preserve">. Expected revenue for the first year is 150 </w:t>
      </w:r>
      <w:proofErr w:type="spellStart"/>
      <w:r w:rsidR="00AF2F59">
        <w:t>crores</w:t>
      </w:r>
      <w:proofErr w:type="spellEnd"/>
      <w:r w:rsidR="00AF2F59">
        <w:t xml:space="preserve"> and for the second year is 200 </w:t>
      </w:r>
      <w:proofErr w:type="spellStart"/>
      <w:r w:rsidR="00AF2F59">
        <w:t>crores</w:t>
      </w:r>
      <w:proofErr w:type="spellEnd"/>
      <w:r w:rsidR="00AF2F59">
        <w:t xml:space="preserve"> – operating at an asset turnover ratio of more than 2.5 (2</w:t>
      </w:r>
      <w:r w:rsidR="00AF2F59" w:rsidRPr="00AF2F59">
        <w:rPr>
          <w:vertAlign w:val="superscript"/>
        </w:rPr>
        <w:t>nd</w:t>
      </w:r>
      <w:r w:rsidR="00AF2F59">
        <w:t xml:space="preserve"> quarter transcript).</w:t>
      </w:r>
    </w:p>
    <w:p w:rsidR="00AF2F59" w:rsidRDefault="00AF2F59" w:rsidP="00361575">
      <w:pPr>
        <w:pStyle w:val="ListParagraph"/>
        <w:numPr>
          <w:ilvl w:val="0"/>
          <w:numId w:val="1"/>
        </w:numPr>
      </w:pPr>
      <w:r>
        <w:t>MOU signed with Japan conglomerate of Honda and Toyota to manufacture car handles, mirrors and lock sets. JV to be very soon entered into by end of the financial year 2016. (</w:t>
      </w:r>
      <w:proofErr w:type="spellStart"/>
      <w:proofErr w:type="gramStart"/>
      <w:r>
        <w:t>concall</w:t>
      </w:r>
      <w:proofErr w:type="spellEnd"/>
      <w:proofErr w:type="gramEnd"/>
      <w:r>
        <w:t xml:space="preserve"> transcript).</w:t>
      </w:r>
    </w:p>
    <w:p w:rsidR="00AF2F59" w:rsidRDefault="00AF2F59" w:rsidP="00361575">
      <w:pPr>
        <w:pStyle w:val="ListParagraph"/>
        <w:numPr>
          <w:ilvl w:val="0"/>
          <w:numId w:val="1"/>
        </w:numPr>
      </w:pPr>
      <w:r>
        <w:t>Bharat V brings new regulations of using canister to protect evaporation of fuel due to high temperature. FIEM has signed MOU with Asian Japan (well known for canister technology). All the new models launched after April 2016 have to be canister protected and all the old models from April 2017.</w:t>
      </w:r>
    </w:p>
    <w:p w:rsidR="00AF2F59" w:rsidRDefault="00B8317E" w:rsidP="00361575">
      <w:pPr>
        <w:pStyle w:val="ListParagraph"/>
        <w:numPr>
          <w:ilvl w:val="0"/>
          <w:numId w:val="1"/>
        </w:numPr>
      </w:pPr>
      <w:r>
        <w:t xml:space="preserve">Entered into MOU with </w:t>
      </w:r>
      <w:proofErr w:type="spellStart"/>
      <w:r>
        <w:t>Yamota</w:t>
      </w:r>
      <w:proofErr w:type="spellEnd"/>
      <w:r>
        <w:t xml:space="preserve"> Japan for manufacturing wires, switches, etc. </w:t>
      </w:r>
    </w:p>
    <w:p w:rsidR="00B8317E" w:rsidRDefault="00B8317E" w:rsidP="00361575">
      <w:pPr>
        <w:pStyle w:val="ListParagraph"/>
        <w:numPr>
          <w:ilvl w:val="0"/>
          <w:numId w:val="1"/>
        </w:numPr>
      </w:pPr>
      <w:r>
        <w:t xml:space="preserve">LED capacities to be </w:t>
      </w:r>
      <w:proofErr w:type="gramStart"/>
      <w:r>
        <w:t>increased  from</w:t>
      </w:r>
      <w:proofErr w:type="gramEnd"/>
      <w:r>
        <w:t xml:space="preserve"> mere 60000bulbs a day to 2lacs in a year and 4lacs by next year. Same expansion in </w:t>
      </w:r>
      <w:proofErr w:type="gramStart"/>
      <w:r>
        <w:t>public street</w:t>
      </w:r>
      <w:proofErr w:type="gramEnd"/>
      <w:r>
        <w:t xml:space="preserve"> lights capacities.</w:t>
      </w:r>
    </w:p>
    <w:p w:rsidR="00B8317E" w:rsidRDefault="00B8317E" w:rsidP="00361575">
      <w:pPr>
        <w:pStyle w:val="ListParagraph"/>
        <w:numPr>
          <w:ilvl w:val="0"/>
          <w:numId w:val="1"/>
        </w:numPr>
      </w:pPr>
      <w:r>
        <w:t xml:space="preserve">Got order worth 50 </w:t>
      </w:r>
      <w:proofErr w:type="spellStart"/>
      <w:r>
        <w:t>crores</w:t>
      </w:r>
      <w:proofErr w:type="spellEnd"/>
      <w:r>
        <w:t xml:space="preserve"> approved from the Railway development ministry (IPIS).</w:t>
      </w:r>
    </w:p>
    <w:p w:rsidR="00B8317E" w:rsidRDefault="00B8317E" w:rsidP="00361575">
      <w:pPr>
        <w:pStyle w:val="ListParagraph"/>
        <w:numPr>
          <w:ilvl w:val="0"/>
          <w:numId w:val="1"/>
        </w:numPr>
      </w:pPr>
      <w:r>
        <w:t>FIEM planning to enter in the retail market by next year in the LED business.</w:t>
      </w:r>
    </w:p>
    <w:p w:rsidR="00B8317E" w:rsidRDefault="00B8317E" w:rsidP="00B8317E">
      <w:pPr>
        <w:pStyle w:val="ListParagraph"/>
      </w:pPr>
    </w:p>
    <w:p w:rsidR="00B8317E" w:rsidRDefault="00B8317E" w:rsidP="00B8317E">
      <w:r w:rsidRPr="00B8317E">
        <w:rPr>
          <w:b/>
          <w:u w:val="single"/>
        </w:rPr>
        <w:t>Risks</w:t>
      </w:r>
      <w:r>
        <w:t xml:space="preserve"> </w:t>
      </w:r>
      <w:r>
        <w:rPr>
          <w:b/>
        </w:rPr>
        <w:t>–</w:t>
      </w:r>
      <w:r>
        <w:t xml:space="preserve"> </w:t>
      </w:r>
    </w:p>
    <w:p w:rsidR="00B8317E" w:rsidRDefault="00B8317E" w:rsidP="00B8317E">
      <w:pPr>
        <w:pStyle w:val="ListParagraph"/>
        <w:numPr>
          <w:ilvl w:val="0"/>
          <w:numId w:val="2"/>
        </w:numPr>
      </w:pPr>
      <w:r>
        <w:t xml:space="preserve">Lot of competition in the LED business – players like Philips, </w:t>
      </w:r>
      <w:proofErr w:type="spellStart"/>
      <w:r>
        <w:t>eveready</w:t>
      </w:r>
      <w:proofErr w:type="spellEnd"/>
      <w:r>
        <w:t xml:space="preserve">, </w:t>
      </w:r>
      <w:proofErr w:type="spellStart"/>
      <w:r>
        <w:t>Syska</w:t>
      </w:r>
      <w:proofErr w:type="spellEnd"/>
      <w:r>
        <w:t>, etc. have good brand names.</w:t>
      </w:r>
    </w:p>
    <w:p w:rsidR="00B8317E" w:rsidRDefault="00B8317E" w:rsidP="00B8317E">
      <w:pPr>
        <w:pStyle w:val="ListParagraph"/>
        <w:numPr>
          <w:ilvl w:val="0"/>
          <w:numId w:val="2"/>
        </w:numPr>
      </w:pPr>
      <w:r>
        <w:t>Auto sector de-growth can affect.</w:t>
      </w:r>
    </w:p>
    <w:p w:rsidR="00B8317E" w:rsidRDefault="00B8317E" w:rsidP="00B8317E">
      <w:r w:rsidRPr="00B8317E">
        <w:rPr>
          <w:b/>
          <w:u w:val="single"/>
        </w:rPr>
        <w:t>Moat</w:t>
      </w:r>
      <w:r>
        <w:t xml:space="preserve"> </w:t>
      </w:r>
      <w:r>
        <w:rPr>
          <w:b/>
        </w:rPr>
        <w:t>–</w:t>
      </w:r>
    </w:p>
    <w:p w:rsidR="00B8317E" w:rsidRDefault="00B8317E" w:rsidP="00B8317E">
      <w:pPr>
        <w:pStyle w:val="ListParagraph"/>
        <w:numPr>
          <w:ilvl w:val="0"/>
          <w:numId w:val="3"/>
        </w:numPr>
      </w:pPr>
      <w:r>
        <w:t xml:space="preserve">45% of sales </w:t>
      </w:r>
      <w:proofErr w:type="gramStart"/>
      <w:r>
        <w:t>is</w:t>
      </w:r>
      <w:proofErr w:type="gramEnd"/>
      <w:r>
        <w:t xml:space="preserve"> to Honda – Honda has a wonderful history of being market leaders in all of its markets.</w:t>
      </w:r>
      <w:r w:rsidR="00293E9C">
        <w:t xml:space="preserve"> Almost 70-75% of Honda’s LED/lamp requirement is provided by FIEM. This proves the quality and image of the company.</w:t>
      </w:r>
    </w:p>
    <w:p w:rsidR="00293E9C" w:rsidRDefault="00293E9C" w:rsidP="00B8317E">
      <w:pPr>
        <w:pStyle w:val="ListParagraph"/>
        <w:numPr>
          <w:ilvl w:val="0"/>
          <w:numId w:val="3"/>
        </w:numPr>
      </w:pPr>
      <w:r>
        <w:t xml:space="preserve">FIEM manufactures all the raw materials in its facilities. It is the only company in India manufacturing drivers (used in LED). This gives the company benefit of being a low cost producer. </w:t>
      </w:r>
      <w:proofErr w:type="spellStart"/>
      <w:r>
        <w:t>Lumax</w:t>
      </w:r>
      <w:proofErr w:type="spellEnd"/>
      <w:r>
        <w:t xml:space="preserve"> has OPM of 7-8% where as FIEM has of 12%+.</w:t>
      </w:r>
    </w:p>
    <w:p w:rsidR="00293E9C" w:rsidRDefault="00293E9C" w:rsidP="00B8317E">
      <w:pPr>
        <w:pStyle w:val="ListParagraph"/>
        <w:numPr>
          <w:ilvl w:val="0"/>
          <w:numId w:val="3"/>
        </w:numPr>
      </w:pPr>
      <w:r>
        <w:t xml:space="preserve">It has 3 dedicated R&amp;D </w:t>
      </w:r>
      <w:proofErr w:type="spellStart"/>
      <w:r>
        <w:t>centres</w:t>
      </w:r>
      <w:proofErr w:type="spellEnd"/>
      <w:r>
        <w:t xml:space="preserve"> – </w:t>
      </w:r>
    </w:p>
    <w:p w:rsidR="00293E9C" w:rsidRDefault="00293E9C" w:rsidP="00293E9C">
      <w:pPr>
        <w:pStyle w:val="ListParagraph"/>
        <w:ind w:left="763"/>
      </w:pPr>
      <w:r>
        <w:t>1). Japan.</w:t>
      </w:r>
    </w:p>
    <w:p w:rsidR="00293E9C" w:rsidRDefault="00293E9C" w:rsidP="00293E9C">
      <w:pPr>
        <w:pStyle w:val="ListParagraph"/>
        <w:ind w:left="763"/>
      </w:pPr>
      <w:r>
        <w:t>2). Italy.</w:t>
      </w:r>
    </w:p>
    <w:p w:rsidR="00293E9C" w:rsidRDefault="00293E9C" w:rsidP="00293E9C">
      <w:pPr>
        <w:pStyle w:val="ListParagraph"/>
        <w:ind w:left="763"/>
      </w:pPr>
      <w:r>
        <w:t>3). India.</w:t>
      </w:r>
    </w:p>
    <w:p w:rsidR="00293E9C" w:rsidRDefault="00293E9C" w:rsidP="00293E9C">
      <w:pPr>
        <w:pStyle w:val="ListParagraph"/>
        <w:ind w:left="763"/>
      </w:pPr>
      <w:r>
        <w:t xml:space="preserve">Company was the first one to introduce LED lamps in 2 wheelers in India. It has </w:t>
      </w:r>
      <w:proofErr w:type="gramStart"/>
      <w:r>
        <w:t>innovated</w:t>
      </w:r>
      <w:proofErr w:type="gramEnd"/>
      <w:r>
        <w:t xml:space="preserve"> a couple of things this year which it expects to market the next year. </w:t>
      </w:r>
    </w:p>
    <w:p w:rsidR="00293E9C" w:rsidRDefault="00293E9C" w:rsidP="00B8317E">
      <w:pPr>
        <w:rPr>
          <w:b/>
          <w:u w:val="single"/>
        </w:rPr>
      </w:pPr>
    </w:p>
    <w:p w:rsidR="00293E9C" w:rsidRDefault="00293E9C" w:rsidP="00B8317E">
      <w:pPr>
        <w:rPr>
          <w:b/>
          <w:u w:val="single"/>
        </w:rPr>
      </w:pPr>
    </w:p>
    <w:p w:rsidR="00B8317E" w:rsidRDefault="00B8317E" w:rsidP="00B8317E">
      <w:pPr>
        <w:rPr>
          <w:b/>
        </w:rPr>
      </w:pPr>
      <w:r w:rsidRPr="00B8317E">
        <w:rPr>
          <w:b/>
          <w:u w:val="single"/>
        </w:rPr>
        <w:lastRenderedPageBreak/>
        <w:t>Conclusion</w:t>
      </w:r>
      <w:r w:rsidRPr="00B8317E">
        <w:rPr>
          <w:b/>
        </w:rPr>
        <w:t xml:space="preserve"> </w:t>
      </w:r>
      <w:r>
        <w:rPr>
          <w:b/>
        </w:rPr>
        <w:t>–</w:t>
      </w:r>
    </w:p>
    <w:p w:rsidR="00B8317E" w:rsidRPr="00B8317E" w:rsidRDefault="00B8317E" w:rsidP="00B8317E">
      <w:r w:rsidRPr="00B8317E">
        <w:t xml:space="preserve">Company </w:t>
      </w:r>
      <w:r>
        <w:t xml:space="preserve">has an excellent management running the business consistently over decades. Company is run by a perfect combination of promoter and professional management. With big triggers lying on road and excellent execution over years, we feel the stock to be much undervalued at a PE of 20-22. </w:t>
      </w:r>
      <w:r w:rsidRPr="00B8317E">
        <w:t xml:space="preserve"> </w:t>
      </w:r>
    </w:p>
    <w:sectPr w:rsidR="00B8317E" w:rsidRPr="00B8317E" w:rsidSect="00F26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77D"/>
    <w:multiLevelType w:val="hybridMultilevel"/>
    <w:tmpl w:val="5D8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43967"/>
    <w:multiLevelType w:val="hybridMultilevel"/>
    <w:tmpl w:val="D69A6AB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nsid w:val="2A9C65DE"/>
    <w:multiLevelType w:val="hybridMultilevel"/>
    <w:tmpl w:val="730A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C2252"/>
    <w:rsid w:val="00293E9C"/>
    <w:rsid w:val="00361575"/>
    <w:rsid w:val="004B0789"/>
    <w:rsid w:val="00AF2F59"/>
    <w:rsid w:val="00B8317E"/>
    <w:rsid w:val="00D026E0"/>
    <w:rsid w:val="00EC2252"/>
    <w:rsid w:val="00F26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52"/>
    <w:rPr>
      <w:rFonts w:ascii="Tahoma" w:hAnsi="Tahoma" w:cs="Tahoma"/>
      <w:sz w:val="16"/>
      <w:szCs w:val="16"/>
    </w:rPr>
  </w:style>
  <w:style w:type="paragraph" w:styleId="ListParagraph">
    <w:name w:val="List Paragraph"/>
    <w:basedOn w:val="Normal"/>
    <w:uiPriority w:val="34"/>
    <w:qFormat/>
    <w:rsid w:val="00361575"/>
    <w:pPr>
      <w:ind w:left="720"/>
      <w:contextualSpacing/>
    </w:pPr>
  </w:style>
</w:styles>
</file>

<file path=word/webSettings.xml><?xml version="1.0" encoding="utf-8"?>
<w:webSettings xmlns:r="http://schemas.openxmlformats.org/officeDocument/2006/relationships" xmlns:w="http://schemas.openxmlformats.org/wordprocessingml/2006/main">
  <w:divs>
    <w:div w:id="433139268">
      <w:bodyDiv w:val="1"/>
      <w:marLeft w:val="0"/>
      <w:marRight w:val="0"/>
      <w:marTop w:val="0"/>
      <w:marBottom w:val="0"/>
      <w:divBdr>
        <w:top w:val="none" w:sz="0" w:space="0" w:color="auto"/>
        <w:left w:val="none" w:sz="0" w:space="0" w:color="auto"/>
        <w:bottom w:val="none" w:sz="0" w:space="0" w:color="auto"/>
        <w:right w:val="none" w:sz="0" w:space="0" w:color="auto"/>
      </w:divBdr>
    </w:div>
    <w:div w:id="20546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A81EFE-6292-42CB-83B2-04E99AD961B4}" type="doc">
      <dgm:prSet loTypeId="urn:microsoft.com/office/officeart/2005/8/layout/hList7" loCatId="process" qsTypeId="urn:microsoft.com/office/officeart/2005/8/quickstyle/simple1" qsCatId="simple" csTypeId="urn:microsoft.com/office/officeart/2005/8/colors/accent1_2" csCatId="accent1" phldr="1"/>
      <dgm:spPr/>
    </dgm:pt>
    <dgm:pt modelId="{23DD3860-A31F-4E7F-879A-699AC46ED511}">
      <dgm:prSet phldrT="[Text]" custT="1"/>
      <dgm:spPr/>
      <dgm:t>
        <a:bodyPr/>
        <a:lstStyle/>
        <a:p>
          <a:r>
            <a:rPr lang="en-US" sz="1600"/>
            <a:t>Auto</a:t>
          </a:r>
          <a:r>
            <a:rPr lang="en-US" sz="2600"/>
            <a:t> </a:t>
          </a:r>
        </a:p>
      </dgm:t>
    </dgm:pt>
    <dgm:pt modelId="{4446E7EE-A4FD-47E1-BDFA-AF86098C189F}" type="parTrans" cxnId="{586733CE-540F-4D5D-B46C-1DA228DCE3D7}">
      <dgm:prSet/>
      <dgm:spPr/>
      <dgm:t>
        <a:bodyPr/>
        <a:lstStyle/>
        <a:p>
          <a:endParaRPr lang="en-US"/>
        </a:p>
      </dgm:t>
    </dgm:pt>
    <dgm:pt modelId="{01EEDEDA-F4C0-4C83-BCD6-36C712A3AE2E}" type="sibTrans" cxnId="{586733CE-540F-4D5D-B46C-1DA228DCE3D7}">
      <dgm:prSet/>
      <dgm:spPr/>
      <dgm:t>
        <a:bodyPr/>
        <a:lstStyle/>
        <a:p>
          <a:endParaRPr lang="en-US"/>
        </a:p>
      </dgm:t>
    </dgm:pt>
    <dgm:pt modelId="{14B3A2CB-9B45-4303-8620-7E24A57DD72D}">
      <dgm:prSet phldrT="[Text]" custT="1"/>
      <dgm:spPr/>
      <dgm:t>
        <a:bodyPr/>
        <a:lstStyle/>
        <a:p>
          <a:r>
            <a:rPr lang="en-US" sz="1600"/>
            <a:t>LED</a:t>
          </a:r>
        </a:p>
      </dgm:t>
    </dgm:pt>
    <dgm:pt modelId="{70CC04A5-285D-48AB-8DE7-05DDA6156722}" type="parTrans" cxnId="{A70256B3-AE1C-463F-9A6D-8BE449EE5972}">
      <dgm:prSet/>
      <dgm:spPr/>
      <dgm:t>
        <a:bodyPr/>
        <a:lstStyle/>
        <a:p>
          <a:endParaRPr lang="en-US"/>
        </a:p>
      </dgm:t>
    </dgm:pt>
    <dgm:pt modelId="{64042C28-0931-4722-B885-8AE957E374B0}" type="sibTrans" cxnId="{A70256B3-AE1C-463F-9A6D-8BE449EE5972}">
      <dgm:prSet/>
      <dgm:spPr/>
      <dgm:t>
        <a:bodyPr/>
        <a:lstStyle/>
        <a:p>
          <a:endParaRPr lang="en-US"/>
        </a:p>
      </dgm:t>
    </dgm:pt>
    <dgm:pt modelId="{48CCAED9-AC9A-4B4F-80BC-B47B969434C4}">
      <dgm:prSet phldrT="[Text]" custT="1"/>
      <dgm:spPr/>
      <dgm:t>
        <a:bodyPr/>
        <a:lstStyle/>
        <a:p>
          <a:r>
            <a:rPr lang="en-US" sz="1600"/>
            <a:t>IPIS</a:t>
          </a:r>
        </a:p>
      </dgm:t>
    </dgm:pt>
    <dgm:pt modelId="{BD500EF1-2F33-4F45-8938-B2E099EDF549}" type="parTrans" cxnId="{75260032-752C-4EBC-910D-A17CEBC934EE}">
      <dgm:prSet/>
      <dgm:spPr/>
      <dgm:t>
        <a:bodyPr/>
        <a:lstStyle/>
        <a:p>
          <a:endParaRPr lang="en-US"/>
        </a:p>
      </dgm:t>
    </dgm:pt>
    <dgm:pt modelId="{4DBD8ED1-17FF-4593-9794-66627EC4A6DA}" type="sibTrans" cxnId="{75260032-752C-4EBC-910D-A17CEBC934EE}">
      <dgm:prSet/>
      <dgm:spPr/>
      <dgm:t>
        <a:bodyPr/>
        <a:lstStyle/>
        <a:p>
          <a:endParaRPr lang="en-US"/>
        </a:p>
      </dgm:t>
    </dgm:pt>
    <dgm:pt modelId="{B702ABE3-C9B1-4FAB-8A11-3846608E8446}" type="pres">
      <dgm:prSet presAssocID="{42A81EFE-6292-42CB-83B2-04E99AD961B4}" presName="Name0" presStyleCnt="0">
        <dgm:presLayoutVars>
          <dgm:dir/>
          <dgm:resizeHandles val="exact"/>
        </dgm:presLayoutVars>
      </dgm:prSet>
      <dgm:spPr/>
    </dgm:pt>
    <dgm:pt modelId="{A102AEDD-8C64-42AF-A149-9F81989CFFAC}" type="pres">
      <dgm:prSet presAssocID="{42A81EFE-6292-42CB-83B2-04E99AD961B4}" presName="fgShape" presStyleLbl="fgShp" presStyleIdx="0" presStyleCnt="1"/>
      <dgm:spPr/>
    </dgm:pt>
    <dgm:pt modelId="{145D91A8-F603-478C-8208-9919E3C033AF}" type="pres">
      <dgm:prSet presAssocID="{42A81EFE-6292-42CB-83B2-04E99AD961B4}" presName="linComp" presStyleCnt="0"/>
      <dgm:spPr/>
    </dgm:pt>
    <dgm:pt modelId="{D1A863D3-15BD-4277-ADEC-70FD8592F03E}" type="pres">
      <dgm:prSet presAssocID="{23DD3860-A31F-4E7F-879A-699AC46ED511}" presName="compNode" presStyleCnt="0"/>
      <dgm:spPr/>
    </dgm:pt>
    <dgm:pt modelId="{80A78D7A-14C9-417F-BC14-6C434A2911B7}" type="pres">
      <dgm:prSet presAssocID="{23DD3860-A31F-4E7F-879A-699AC46ED511}" presName="bkgdShape" presStyleLbl="node1" presStyleIdx="0" presStyleCnt="3" custLinFactNeighborY="-370"/>
      <dgm:spPr/>
    </dgm:pt>
    <dgm:pt modelId="{0FD50AA8-234B-4FD5-BD3D-B7CA6EFD6EDD}" type="pres">
      <dgm:prSet presAssocID="{23DD3860-A31F-4E7F-879A-699AC46ED511}" presName="nodeTx" presStyleLbl="node1" presStyleIdx="0" presStyleCnt="3">
        <dgm:presLayoutVars>
          <dgm:bulletEnabled val="1"/>
        </dgm:presLayoutVars>
      </dgm:prSet>
      <dgm:spPr/>
    </dgm:pt>
    <dgm:pt modelId="{AD541599-2540-494D-B137-C43FACFCFB96}" type="pres">
      <dgm:prSet presAssocID="{23DD3860-A31F-4E7F-879A-699AC46ED511}" presName="invisiNode" presStyleLbl="node1" presStyleIdx="0" presStyleCnt="3"/>
      <dgm:spPr/>
    </dgm:pt>
    <dgm:pt modelId="{707EABB8-2CFD-42F4-88D2-5D6C878D9F66}" type="pres">
      <dgm:prSet presAssocID="{23DD3860-A31F-4E7F-879A-699AC46ED511}" presName="imagNode" presStyleLbl="fgImgPlace1" presStyleIdx="0" presStyleCnt="3"/>
      <dgm:spPr>
        <a:blipFill rotWithShape="0">
          <a:blip xmlns:r="http://schemas.openxmlformats.org/officeDocument/2006/relationships" r:embed="rId1"/>
          <a:stretch>
            <a:fillRect/>
          </a:stretch>
        </a:blipFill>
      </dgm:spPr>
    </dgm:pt>
    <dgm:pt modelId="{B7D5AA25-98F2-44DD-9AB7-7AFE944D0E79}" type="pres">
      <dgm:prSet presAssocID="{01EEDEDA-F4C0-4C83-BCD6-36C712A3AE2E}" presName="sibTrans" presStyleLbl="sibTrans2D1" presStyleIdx="0" presStyleCnt="0"/>
      <dgm:spPr/>
    </dgm:pt>
    <dgm:pt modelId="{6A05CA7E-F840-48B4-BA94-86700A4E6A30}" type="pres">
      <dgm:prSet presAssocID="{14B3A2CB-9B45-4303-8620-7E24A57DD72D}" presName="compNode" presStyleCnt="0"/>
      <dgm:spPr/>
    </dgm:pt>
    <dgm:pt modelId="{D2FC6C18-5525-4E9F-A585-D14F52A4AE46}" type="pres">
      <dgm:prSet presAssocID="{14B3A2CB-9B45-4303-8620-7E24A57DD72D}" presName="bkgdShape" presStyleLbl="node1" presStyleIdx="1" presStyleCnt="3"/>
      <dgm:spPr/>
    </dgm:pt>
    <dgm:pt modelId="{D91E7101-5F65-49BF-A656-54B57789E331}" type="pres">
      <dgm:prSet presAssocID="{14B3A2CB-9B45-4303-8620-7E24A57DD72D}" presName="nodeTx" presStyleLbl="node1" presStyleIdx="1" presStyleCnt="3">
        <dgm:presLayoutVars>
          <dgm:bulletEnabled val="1"/>
        </dgm:presLayoutVars>
      </dgm:prSet>
      <dgm:spPr/>
    </dgm:pt>
    <dgm:pt modelId="{C196618E-678F-45F6-923F-5E3B9DE53C09}" type="pres">
      <dgm:prSet presAssocID="{14B3A2CB-9B45-4303-8620-7E24A57DD72D}" presName="invisiNode" presStyleLbl="node1" presStyleIdx="1" presStyleCnt="3"/>
      <dgm:spPr/>
    </dgm:pt>
    <dgm:pt modelId="{C1DA2F60-E0E5-404B-87F3-48A4A9F789B3}" type="pres">
      <dgm:prSet presAssocID="{14B3A2CB-9B45-4303-8620-7E24A57DD72D}" presName="imagNode" presStyleLbl="fgImgPlace1" presStyleIdx="1" presStyleCnt="3"/>
      <dgm:spPr>
        <a:blipFill rotWithShape="0">
          <a:blip xmlns:r="http://schemas.openxmlformats.org/officeDocument/2006/relationships" r:embed="rId2"/>
          <a:stretch>
            <a:fillRect/>
          </a:stretch>
        </a:blipFill>
      </dgm:spPr>
    </dgm:pt>
    <dgm:pt modelId="{28A0564E-1F70-4541-80A1-81E0B345A6CB}" type="pres">
      <dgm:prSet presAssocID="{64042C28-0931-4722-B885-8AE957E374B0}" presName="sibTrans" presStyleLbl="sibTrans2D1" presStyleIdx="0" presStyleCnt="0"/>
      <dgm:spPr/>
    </dgm:pt>
    <dgm:pt modelId="{D27A5B56-1D69-4210-9F9E-4EFA81135DEC}" type="pres">
      <dgm:prSet presAssocID="{48CCAED9-AC9A-4B4F-80BC-B47B969434C4}" presName="compNode" presStyleCnt="0"/>
      <dgm:spPr/>
    </dgm:pt>
    <dgm:pt modelId="{F9CBA031-7C51-4366-A977-4BA82C1E8875}" type="pres">
      <dgm:prSet presAssocID="{48CCAED9-AC9A-4B4F-80BC-B47B969434C4}" presName="bkgdShape" presStyleLbl="node1" presStyleIdx="2" presStyleCnt="3"/>
      <dgm:spPr/>
    </dgm:pt>
    <dgm:pt modelId="{B943BD45-F5F4-4E28-B522-B5CD8B319A11}" type="pres">
      <dgm:prSet presAssocID="{48CCAED9-AC9A-4B4F-80BC-B47B969434C4}" presName="nodeTx" presStyleLbl="node1" presStyleIdx="2" presStyleCnt="3">
        <dgm:presLayoutVars>
          <dgm:bulletEnabled val="1"/>
        </dgm:presLayoutVars>
      </dgm:prSet>
      <dgm:spPr/>
    </dgm:pt>
    <dgm:pt modelId="{98545C23-5719-4354-9F0A-5B91ABC8F41F}" type="pres">
      <dgm:prSet presAssocID="{48CCAED9-AC9A-4B4F-80BC-B47B969434C4}" presName="invisiNode" presStyleLbl="node1" presStyleIdx="2" presStyleCnt="3"/>
      <dgm:spPr/>
    </dgm:pt>
    <dgm:pt modelId="{8E53457E-4F41-44D4-BC89-05FCF71AF5FF}" type="pres">
      <dgm:prSet presAssocID="{48CCAED9-AC9A-4B4F-80BC-B47B969434C4}" presName="imagNode" presStyleLbl="fgImgPlace1" presStyleIdx="2" presStyleCnt="3"/>
      <dgm:spPr>
        <a:blipFill rotWithShape="0">
          <a:blip xmlns:r="http://schemas.openxmlformats.org/officeDocument/2006/relationships" r:embed="rId3"/>
          <a:stretch>
            <a:fillRect/>
          </a:stretch>
        </a:blipFill>
      </dgm:spPr>
    </dgm:pt>
  </dgm:ptLst>
  <dgm:cxnLst>
    <dgm:cxn modelId="{586733CE-540F-4D5D-B46C-1DA228DCE3D7}" srcId="{42A81EFE-6292-42CB-83B2-04E99AD961B4}" destId="{23DD3860-A31F-4E7F-879A-699AC46ED511}" srcOrd="0" destOrd="0" parTransId="{4446E7EE-A4FD-47E1-BDFA-AF86098C189F}" sibTransId="{01EEDEDA-F4C0-4C83-BCD6-36C712A3AE2E}"/>
    <dgm:cxn modelId="{5E465CFE-A5A4-4106-AEED-C43104994D7E}" type="presOf" srcId="{64042C28-0931-4722-B885-8AE957E374B0}" destId="{28A0564E-1F70-4541-80A1-81E0B345A6CB}" srcOrd="0" destOrd="0" presId="urn:microsoft.com/office/officeart/2005/8/layout/hList7"/>
    <dgm:cxn modelId="{31F2C2B5-EC4E-4A5F-BA8E-440898C9E014}" type="presOf" srcId="{48CCAED9-AC9A-4B4F-80BC-B47B969434C4}" destId="{F9CBA031-7C51-4366-A977-4BA82C1E8875}" srcOrd="0" destOrd="0" presId="urn:microsoft.com/office/officeart/2005/8/layout/hList7"/>
    <dgm:cxn modelId="{6F4FDC19-0E0B-4FB7-AFD8-11DFBBAFE8EA}" type="presOf" srcId="{42A81EFE-6292-42CB-83B2-04E99AD961B4}" destId="{B702ABE3-C9B1-4FAB-8A11-3846608E8446}" srcOrd="0" destOrd="0" presId="urn:microsoft.com/office/officeart/2005/8/layout/hList7"/>
    <dgm:cxn modelId="{A70256B3-AE1C-463F-9A6D-8BE449EE5972}" srcId="{42A81EFE-6292-42CB-83B2-04E99AD961B4}" destId="{14B3A2CB-9B45-4303-8620-7E24A57DD72D}" srcOrd="1" destOrd="0" parTransId="{70CC04A5-285D-48AB-8DE7-05DDA6156722}" sibTransId="{64042C28-0931-4722-B885-8AE957E374B0}"/>
    <dgm:cxn modelId="{B251ED41-8E16-415C-A19F-394126791E85}" type="presOf" srcId="{14B3A2CB-9B45-4303-8620-7E24A57DD72D}" destId="{D91E7101-5F65-49BF-A656-54B57789E331}" srcOrd="1" destOrd="0" presId="urn:microsoft.com/office/officeart/2005/8/layout/hList7"/>
    <dgm:cxn modelId="{BDCF87F1-BFB0-4D69-AB99-C7F0EFCA58EE}" type="presOf" srcId="{23DD3860-A31F-4E7F-879A-699AC46ED511}" destId="{0FD50AA8-234B-4FD5-BD3D-B7CA6EFD6EDD}" srcOrd="1" destOrd="0" presId="urn:microsoft.com/office/officeart/2005/8/layout/hList7"/>
    <dgm:cxn modelId="{75260032-752C-4EBC-910D-A17CEBC934EE}" srcId="{42A81EFE-6292-42CB-83B2-04E99AD961B4}" destId="{48CCAED9-AC9A-4B4F-80BC-B47B969434C4}" srcOrd="2" destOrd="0" parTransId="{BD500EF1-2F33-4F45-8938-B2E099EDF549}" sibTransId="{4DBD8ED1-17FF-4593-9794-66627EC4A6DA}"/>
    <dgm:cxn modelId="{522DA731-7ED1-4AFE-87D3-B52025653BAF}" type="presOf" srcId="{23DD3860-A31F-4E7F-879A-699AC46ED511}" destId="{80A78D7A-14C9-417F-BC14-6C434A2911B7}" srcOrd="0" destOrd="0" presId="urn:microsoft.com/office/officeart/2005/8/layout/hList7"/>
    <dgm:cxn modelId="{88BDED24-53E2-4F5E-A225-7705EE066776}" type="presOf" srcId="{14B3A2CB-9B45-4303-8620-7E24A57DD72D}" destId="{D2FC6C18-5525-4E9F-A585-D14F52A4AE46}" srcOrd="0" destOrd="0" presId="urn:microsoft.com/office/officeart/2005/8/layout/hList7"/>
    <dgm:cxn modelId="{643DBFB2-6691-4403-93B8-8A75B2C071FF}" type="presOf" srcId="{01EEDEDA-F4C0-4C83-BCD6-36C712A3AE2E}" destId="{B7D5AA25-98F2-44DD-9AB7-7AFE944D0E79}" srcOrd="0" destOrd="0" presId="urn:microsoft.com/office/officeart/2005/8/layout/hList7"/>
    <dgm:cxn modelId="{FE2A1675-FAED-49B8-B32D-66D1826130F6}" type="presOf" srcId="{48CCAED9-AC9A-4B4F-80BC-B47B969434C4}" destId="{B943BD45-F5F4-4E28-B522-B5CD8B319A11}" srcOrd="1" destOrd="0" presId="urn:microsoft.com/office/officeart/2005/8/layout/hList7"/>
    <dgm:cxn modelId="{99BDEA03-F452-4645-9C2D-120B946D300A}" type="presParOf" srcId="{B702ABE3-C9B1-4FAB-8A11-3846608E8446}" destId="{A102AEDD-8C64-42AF-A149-9F81989CFFAC}" srcOrd="0" destOrd="0" presId="urn:microsoft.com/office/officeart/2005/8/layout/hList7"/>
    <dgm:cxn modelId="{B9883ED3-D946-480B-99F3-DE14411D1FCD}" type="presParOf" srcId="{B702ABE3-C9B1-4FAB-8A11-3846608E8446}" destId="{145D91A8-F603-478C-8208-9919E3C033AF}" srcOrd="1" destOrd="0" presId="urn:microsoft.com/office/officeart/2005/8/layout/hList7"/>
    <dgm:cxn modelId="{93D65295-F291-4D87-8C2D-624E0AA5B7C0}" type="presParOf" srcId="{145D91A8-F603-478C-8208-9919E3C033AF}" destId="{D1A863D3-15BD-4277-ADEC-70FD8592F03E}" srcOrd="0" destOrd="0" presId="urn:microsoft.com/office/officeart/2005/8/layout/hList7"/>
    <dgm:cxn modelId="{9B0BB9F6-FB2B-404C-A783-0C4DB21178E5}" type="presParOf" srcId="{D1A863D3-15BD-4277-ADEC-70FD8592F03E}" destId="{80A78D7A-14C9-417F-BC14-6C434A2911B7}" srcOrd="0" destOrd="0" presId="urn:microsoft.com/office/officeart/2005/8/layout/hList7"/>
    <dgm:cxn modelId="{253FC182-443C-4CE8-8156-9483F8952C9D}" type="presParOf" srcId="{D1A863D3-15BD-4277-ADEC-70FD8592F03E}" destId="{0FD50AA8-234B-4FD5-BD3D-B7CA6EFD6EDD}" srcOrd="1" destOrd="0" presId="urn:microsoft.com/office/officeart/2005/8/layout/hList7"/>
    <dgm:cxn modelId="{36B420AA-154F-450D-BF6B-3D5B322AC91C}" type="presParOf" srcId="{D1A863D3-15BD-4277-ADEC-70FD8592F03E}" destId="{AD541599-2540-494D-B137-C43FACFCFB96}" srcOrd="2" destOrd="0" presId="urn:microsoft.com/office/officeart/2005/8/layout/hList7"/>
    <dgm:cxn modelId="{B467F93F-9D71-4ADC-AE1D-6FD1E6DF100A}" type="presParOf" srcId="{D1A863D3-15BD-4277-ADEC-70FD8592F03E}" destId="{707EABB8-2CFD-42F4-88D2-5D6C878D9F66}" srcOrd="3" destOrd="0" presId="urn:microsoft.com/office/officeart/2005/8/layout/hList7"/>
    <dgm:cxn modelId="{40E87091-2292-4847-9572-D17945E191EA}" type="presParOf" srcId="{145D91A8-F603-478C-8208-9919E3C033AF}" destId="{B7D5AA25-98F2-44DD-9AB7-7AFE944D0E79}" srcOrd="1" destOrd="0" presId="urn:microsoft.com/office/officeart/2005/8/layout/hList7"/>
    <dgm:cxn modelId="{EBFB994C-D5EF-4E11-9EA7-7F8F409B3815}" type="presParOf" srcId="{145D91A8-F603-478C-8208-9919E3C033AF}" destId="{6A05CA7E-F840-48B4-BA94-86700A4E6A30}" srcOrd="2" destOrd="0" presId="urn:microsoft.com/office/officeart/2005/8/layout/hList7"/>
    <dgm:cxn modelId="{F343532D-7FDD-4A88-9631-77AEA45708EB}" type="presParOf" srcId="{6A05CA7E-F840-48B4-BA94-86700A4E6A30}" destId="{D2FC6C18-5525-4E9F-A585-D14F52A4AE46}" srcOrd="0" destOrd="0" presId="urn:microsoft.com/office/officeart/2005/8/layout/hList7"/>
    <dgm:cxn modelId="{97C8C6F4-076A-402B-B795-582589DAA002}" type="presParOf" srcId="{6A05CA7E-F840-48B4-BA94-86700A4E6A30}" destId="{D91E7101-5F65-49BF-A656-54B57789E331}" srcOrd="1" destOrd="0" presId="urn:microsoft.com/office/officeart/2005/8/layout/hList7"/>
    <dgm:cxn modelId="{0310CAEC-5DB2-42FD-8A7E-C34B2CD42620}" type="presParOf" srcId="{6A05CA7E-F840-48B4-BA94-86700A4E6A30}" destId="{C196618E-678F-45F6-923F-5E3B9DE53C09}" srcOrd="2" destOrd="0" presId="urn:microsoft.com/office/officeart/2005/8/layout/hList7"/>
    <dgm:cxn modelId="{071A65F6-E89F-4B26-A281-DBC2CD094084}" type="presParOf" srcId="{6A05CA7E-F840-48B4-BA94-86700A4E6A30}" destId="{C1DA2F60-E0E5-404B-87F3-48A4A9F789B3}" srcOrd="3" destOrd="0" presId="urn:microsoft.com/office/officeart/2005/8/layout/hList7"/>
    <dgm:cxn modelId="{D5923BB2-3D7D-4304-86AF-A5138BD90EC2}" type="presParOf" srcId="{145D91A8-F603-478C-8208-9919E3C033AF}" destId="{28A0564E-1F70-4541-80A1-81E0B345A6CB}" srcOrd="3" destOrd="0" presId="urn:microsoft.com/office/officeart/2005/8/layout/hList7"/>
    <dgm:cxn modelId="{FE607264-AED1-4159-8EE3-EEFEBA8ECBA2}" type="presParOf" srcId="{145D91A8-F603-478C-8208-9919E3C033AF}" destId="{D27A5B56-1D69-4210-9F9E-4EFA81135DEC}" srcOrd="4" destOrd="0" presId="urn:microsoft.com/office/officeart/2005/8/layout/hList7"/>
    <dgm:cxn modelId="{A983F74F-7CD5-40AA-A6AC-AEA79C1A666B}" type="presParOf" srcId="{D27A5B56-1D69-4210-9F9E-4EFA81135DEC}" destId="{F9CBA031-7C51-4366-A977-4BA82C1E8875}" srcOrd="0" destOrd="0" presId="urn:microsoft.com/office/officeart/2005/8/layout/hList7"/>
    <dgm:cxn modelId="{5DC31228-53AE-430D-9AA7-BEE20C908BCA}" type="presParOf" srcId="{D27A5B56-1D69-4210-9F9E-4EFA81135DEC}" destId="{B943BD45-F5F4-4E28-B522-B5CD8B319A11}" srcOrd="1" destOrd="0" presId="urn:microsoft.com/office/officeart/2005/8/layout/hList7"/>
    <dgm:cxn modelId="{816893D3-FFDB-4EB8-B997-DE0F649E7ED5}" type="presParOf" srcId="{D27A5B56-1D69-4210-9F9E-4EFA81135DEC}" destId="{98545C23-5719-4354-9F0A-5B91ABC8F41F}" srcOrd="2" destOrd="0" presId="urn:microsoft.com/office/officeart/2005/8/layout/hList7"/>
    <dgm:cxn modelId="{69323C31-0259-446B-8300-ACFEB9C1DDCA}" type="presParOf" srcId="{D27A5B56-1D69-4210-9F9E-4EFA81135DEC}" destId="{8E53457E-4F41-44D4-BC89-05FCF71AF5FF}" srcOrd="3" destOrd="0" presId="urn:microsoft.com/office/officeart/2005/8/layout/hList7"/>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0A78D7A-14C9-417F-BC14-6C434A2911B7}">
      <dsp:nvSpPr>
        <dsp:cNvPr id="0" name=""/>
        <dsp:cNvSpPr/>
      </dsp:nvSpPr>
      <dsp:spPr>
        <a:xfrm>
          <a:off x="1152" y="0"/>
          <a:ext cx="1793689" cy="18424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Auto</a:t>
          </a:r>
          <a:r>
            <a:rPr lang="en-US" sz="2600" kern="1200"/>
            <a:t> </a:t>
          </a:r>
        </a:p>
      </dsp:txBody>
      <dsp:txXfrm>
        <a:off x="1152" y="736978"/>
        <a:ext cx="1793689" cy="736978"/>
      </dsp:txXfrm>
    </dsp:sp>
    <dsp:sp modelId="{707EABB8-2CFD-42F4-88D2-5D6C878D9F66}">
      <dsp:nvSpPr>
        <dsp:cNvPr id="0" name=""/>
        <dsp:cNvSpPr/>
      </dsp:nvSpPr>
      <dsp:spPr>
        <a:xfrm>
          <a:off x="591230" y="110546"/>
          <a:ext cx="613534" cy="613534"/>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2FC6C18-5525-4E9F-A585-D14F52A4AE46}">
      <dsp:nvSpPr>
        <dsp:cNvPr id="0" name=""/>
        <dsp:cNvSpPr/>
      </dsp:nvSpPr>
      <dsp:spPr>
        <a:xfrm>
          <a:off x="1848653" y="0"/>
          <a:ext cx="1793689" cy="18424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LED</a:t>
          </a:r>
        </a:p>
      </dsp:txBody>
      <dsp:txXfrm>
        <a:off x="1848653" y="736978"/>
        <a:ext cx="1793689" cy="736978"/>
      </dsp:txXfrm>
    </dsp:sp>
    <dsp:sp modelId="{C1DA2F60-E0E5-404B-87F3-48A4A9F789B3}">
      <dsp:nvSpPr>
        <dsp:cNvPr id="0" name=""/>
        <dsp:cNvSpPr/>
      </dsp:nvSpPr>
      <dsp:spPr>
        <a:xfrm>
          <a:off x="2438731" y="110546"/>
          <a:ext cx="613534" cy="613534"/>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9CBA031-7C51-4366-A977-4BA82C1E8875}">
      <dsp:nvSpPr>
        <dsp:cNvPr id="0" name=""/>
        <dsp:cNvSpPr/>
      </dsp:nvSpPr>
      <dsp:spPr>
        <a:xfrm>
          <a:off x="3696154" y="0"/>
          <a:ext cx="1793689" cy="18424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IPIS</a:t>
          </a:r>
        </a:p>
      </dsp:txBody>
      <dsp:txXfrm>
        <a:off x="3696154" y="736978"/>
        <a:ext cx="1793689" cy="736978"/>
      </dsp:txXfrm>
    </dsp:sp>
    <dsp:sp modelId="{8E53457E-4F41-44D4-BC89-05FCF71AF5FF}">
      <dsp:nvSpPr>
        <dsp:cNvPr id="0" name=""/>
        <dsp:cNvSpPr/>
      </dsp:nvSpPr>
      <dsp:spPr>
        <a:xfrm>
          <a:off x="4286231" y="110546"/>
          <a:ext cx="613534" cy="613534"/>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02AEDD-8C64-42AF-A149-9F81989CFFAC}">
      <dsp:nvSpPr>
        <dsp:cNvPr id="0" name=""/>
        <dsp:cNvSpPr/>
      </dsp:nvSpPr>
      <dsp:spPr>
        <a:xfrm>
          <a:off x="219639" y="1473957"/>
          <a:ext cx="5051717" cy="276367"/>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Abhi</cp:lastModifiedBy>
  <cp:revision>2</cp:revision>
  <dcterms:created xsi:type="dcterms:W3CDTF">2016-01-07T06:32:00Z</dcterms:created>
  <dcterms:modified xsi:type="dcterms:W3CDTF">2016-01-07T09:27:00Z</dcterms:modified>
</cp:coreProperties>
</file>