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Capacity addition during the 12th five year plan -127Gw v/s planned addition of 88Gw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Share of renewables has gone up from 1% in 2000 to 17% in 2017</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PLF's have dropped to 58% - lack of demand, lack of gas and lower demand due to weak discom take-off</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 India, only those plants that have long term contracts, get coal linkages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 huge part of India's gas based power capacity remains unutilised due to domestic gas shortage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Talks about Gas price reduction and cut in import duty for imported LNG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ratio of transformer capacity in MVA vis-a-vis the installed generation capacity in MWs currently at around 2, is much lower than the global ratio of 7</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Demonetization, a step taken by the Government, though created major liquidity crunch in the economy, turned out to be positive for the distribution segment as it helped most of the cash-strapped discoms recover their huge arrears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Government is also working towards rationalization of power tariff slabs across the country with proposed 15 uniform slabs which is expected to improve transparency in billing and enhance collection efficiency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25 states have lagged behind in their commitment of renewable energy purchases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Business Operations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A)Gas Based</w:t>
      </w:r>
    </w:p>
    <w:p w:rsidR="00000000" w:rsidDel="00000000" w:rsidP="00000000" w:rsidRDefault="00000000" w:rsidRPr="00000000">
      <w:pPr>
        <w:contextualSpacing w:val="0"/>
        <w:rPr/>
      </w:pPr>
      <w:r w:rsidDel="00000000" w:rsidR="00000000" w:rsidRPr="00000000">
        <w:rPr>
          <w:rtl w:val="0"/>
        </w:rPr>
        <w:t xml:space="preserve">1147.5Mw Mega Power Plant, Surat</w:t>
      </w:r>
    </w:p>
    <w:p w:rsidR="00000000" w:rsidDel="00000000" w:rsidP="00000000" w:rsidRDefault="00000000" w:rsidRPr="00000000">
      <w:pPr>
        <w:contextualSpacing w:val="0"/>
        <w:rPr/>
      </w:pPr>
      <w:r w:rsidDel="00000000" w:rsidR="00000000" w:rsidRPr="00000000">
        <w:rPr>
          <w:rtl w:val="0"/>
        </w:rPr>
        <w:t xml:space="preserve">1200Mw Mega Power Plant, Dahej</w:t>
      </w:r>
    </w:p>
    <w:p w:rsidR="00000000" w:rsidDel="00000000" w:rsidP="00000000" w:rsidRDefault="00000000" w:rsidRPr="00000000">
      <w:pPr>
        <w:contextualSpacing w:val="0"/>
        <w:rPr/>
      </w:pPr>
      <w:r w:rsidDel="00000000" w:rsidR="00000000" w:rsidRPr="00000000">
        <w:rPr>
          <w:rtl w:val="0"/>
        </w:rPr>
        <w:t xml:space="preserve">382.5Mw Mega Power Plant Surat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plant at Dahej did not generate a single unit of electricity as the company could not get gas linkage for the plant. The company chose not to participate in the e-Auction of gas as the notified price was higher than the spot price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Storage-cum-regasification capacity at PLL’s Dahej Terminal has commenced from 1st April 2017. The Company, by following a competitive tender process, has tied up procurement of 7 LNG cargoes for delivery during April 2017 to December 2017</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B)Coal Based</w:t>
      </w:r>
    </w:p>
    <w:p w:rsidR="00000000" w:rsidDel="00000000" w:rsidP="00000000" w:rsidRDefault="00000000" w:rsidRPr="00000000">
      <w:pPr>
        <w:contextualSpacing w:val="0"/>
        <w:rPr/>
      </w:pPr>
      <w:r w:rsidDel="00000000" w:rsidR="00000000" w:rsidRPr="00000000">
        <w:rPr>
          <w:rtl w:val="0"/>
        </w:rPr>
        <w:t xml:space="preserve">422Mw Ahemdabad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PLF at the plant was 2520MU's with a PLF of 74.64%</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C)Renewables</w:t>
      </w:r>
    </w:p>
    <w:p w:rsidR="00000000" w:rsidDel="00000000" w:rsidP="00000000" w:rsidRDefault="00000000" w:rsidRPr="00000000">
      <w:pPr>
        <w:contextualSpacing w:val="0"/>
        <w:rPr/>
      </w:pPr>
      <w:r w:rsidDel="00000000" w:rsidR="00000000" w:rsidRPr="00000000">
        <w:rPr>
          <w:rtl w:val="0"/>
        </w:rPr>
        <w:t xml:space="preserve">Current capacity of 500Mw - this has been expanded by 10x since 2012</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Till date, 400Mw of power is functioning whereas the other 100 is under various stages of implementation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Power generated from all of the above renewable projects is for supplying to the Company’s distribution business in Ahmedabad, Surat and Dahej SEZ for fulfilment of their Renewable Purchase Obligations.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D)Power distribution</w:t>
      </w:r>
    </w:p>
    <w:p w:rsidR="00000000" w:rsidDel="00000000" w:rsidP="00000000" w:rsidRDefault="00000000" w:rsidRPr="00000000">
      <w:pPr>
        <w:contextualSpacing w:val="0"/>
        <w:rPr/>
      </w:pPr>
      <w:r w:rsidDel="00000000" w:rsidR="00000000" w:rsidRPr="00000000">
        <w:rPr>
          <w:rtl w:val="0"/>
        </w:rPr>
        <w:t xml:space="preserve">Ahemdabad and Surat - 10039MU's v/s 9978MU's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T&amp;D losses were capped at 6.15% and were one of the lowest in the country. The case fior regulatory charge recovery(which was revised from 0.45p/unit to 0.17p/unit had been taken to APTEL. However, APTEL has set aside the order for the GERC</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Dahej distribution - 242Mu</w:t>
      </w:r>
    </w:p>
    <w:p w:rsidR="00000000" w:rsidDel="00000000" w:rsidP="00000000" w:rsidRDefault="00000000" w:rsidRPr="00000000">
      <w:pPr>
        <w:contextualSpacing w:val="0"/>
        <w:rPr/>
      </w:pPr>
      <w:r w:rsidDel="00000000" w:rsidR="00000000" w:rsidRPr="00000000">
        <w:rPr>
          <w:rtl w:val="0"/>
        </w:rPr>
        <w:t xml:space="preserve">Bhiwandi distribution - 2800Mu</w:t>
      </w:r>
    </w:p>
    <w:p w:rsidR="00000000" w:rsidDel="00000000" w:rsidP="00000000" w:rsidRDefault="00000000" w:rsidRPr="00000000">
      <w:pPr>
        <w:contextualSpacing w:val="0"/>
        <w:rPr/>
      </w:pPr>
      <w:r w:rsidDel="00000000" w:rsidR="00000000" w:rsidRPr="00000000">
        <w:rPr>
          <w:rtl w:val="0"/>
        </w:rPr>
        <w:t xml:space="preserve">Agra - 1584Mu</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rtl w:val="0"/>
        </w:rPr>
        <w:t xml:space="preserve">For the 1147Mw gas plant at Surat, gas is sourced from Relaince’s KG Basin, RasGas and PMT Gas fields</w:t>
      </w:r>
      <w:r w:rsidDel="00000000" w:rsidR="00000000" w:rsidRPr="00000000">
        <w:rPr>
          <w:b w:val="1"/>
          <w:i w:val="1"/>
          <w:rtl w:val="0"/>
        </w:rPr>
        <w:t xml:space="preserve">(source - FY’16 Q3 IP)</w:t>
      </w:r>
    </w:p>
    <w:p w:rsidR="00000000" w:rsidDel="00000000" w:rsidP="00000000" w:rsidRDefault="00000000" w:rsidRPr="00000000">
      <w:pPr>
        <w:contextualSpacing w:val="0"/>
        <w:rPr>
          <w:b w:val="1"/>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other 382.5Mw plant at Surat is yet to receive gas allocation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gas based plants of the Company viz. Sugen, Unosugen &amp; DGEN continue to receive supply of RLNG under the GOI’s “Scheme for utilisation of Gas based power generation capacity” supported by Power system development Fund (PSDF) - in their latest AR, the company said they did not participate in the tender as prices were higher than spot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