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Caption w:val="Newsletter two column layout table"/>
      </w:tblPr>
      <w:tblGrid>
        <w:gridCol w:w="6955"/>
        <w:gridCol w:w="418"/>
        <w:gridCol w:w="3427"/>
      </w:tblGrid>
      <w:tr w:rsidR="005923DB" w:rsidTr="00592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13032"/>
        </w:trPr>
        <w:tc>
          <w:tcPr>
            <w:tcW w:w="6955" w:type="dxa"/>
          </w:tcPr>
          <w:tbl>
            <w:tblPr>
              <w:tblStyle w:val="NewsletterTable"/>
              <w:tblW w:w="0" w:type="auto"/>
              <w:tblLayout w:type="fixed"/>
              <w:tblLook w:val="0660" w:firstRow="1" w:lastRow="1" w:firstColumn="0" w:lastColumn="0" w:noHBand="1" w:noVBand="1"/>
              <w:tblDescription w:val="Title"/>
            </w:tblPr>
            <w:tblGrid>
              <w:gridCol w:w="6955"/>
            </w:tblGrid>
            <w:tr w:rsidR="005923DB" w:rsidRPr="003D4854" w:rsidTr="00592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955" w:type="dxa"/>
                </w:tcPr>
                <w:p w:rsidR="005923DB" w:rsidRPr="003D4854" w:rsidRDefault="005923DB">
                  <w:pPr>
                    <w:pStyle w:val="TableSpace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</w:tc>
            </w:tr>
            <w:tr w:rsidR="005923DB" w:rsidRPr="003D4854" w:rsidTr="005923DB">
              <w:tc>
                <w:tcPr>
                  <w:tcW w:w="6955" w:type="dxa"/>
                </w:tcPr>
                <w:p w:rsidR="005923DB" w:rsidRPr="003D4854" w:rsidRDefault="00C45DD9">
                  <w:pPr>
                    <w:pStyle w:val="Title"/>
                    <w:rPr>
                      <w:b/>
                      <w:bCs/>
                      <w:spacing w:val="0"/>
                      <w:kern w:val="0"/>
                    </w:rPr>
                  </w:pPr>
                  <w:r>
                    <w:rPr>
                      <w:b/>
                      <w:bCs/>
                      <w:spacing w:val="0"/>
                      <w:kern w:val="0"/>
                    </w:rPr>
                    <w:t>Indraprastha Gas Ltd.</w:t>
                  </w:r>
                </w:p>
              </w:tc>
            </w:tr>
            <w:tr w:rsidR="005923DB" w:rsidRPr="003D4854" w:rsidTr="005923DB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955" w:type="dxa"/>
                </w:tcPr>
                <w:p w:rsidR="005923DB" w:rsidRPr="003D4854" w:rsidRDefault="005923DB">
                  <w:pPr>
                    <w:pStyle w:val="TableSpace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</w:tc>
            </w:tr>
          </w:tbl>
          <w:p w:rsidR="005923DB" w:rsidRPr="003D4854" w:rsidRDefault="005923DB">
            <w:pPr>
              <w:pStyle w:val="ContactInfo"/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</w:p>
          <w:p w:rsidR="003D4854" w:rsidRPr="003D4854" w:rsidRDefault="003D4854">
            <w:pPr>
              <w:pStyle w:val="ContactInfo"/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  <w:r w:rsidRPr="003D4854"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  <w:t>History and Business</w:t>
            </w:r>
          </w:p>
          <w:p w:rsidR="00C45DD9" w:rsidRPr="00C45DD9" w:rsidRDefault="00C45DD9" w:rsidP="00C45DD9">
            <w:pPr>
              <w:pStyle w:val="ContactInfo"/>
              <w:rPr>
                <w:rFonts w:ascii="Calibri" w:eastAsiaTheme="majorEastAsia" w:hAnsi="Calibri" w:cs="Calibri"/>
                <w:color w:val="auto"/>
              </w:rPr>
            </w:pPr>
            <w:r w:rsidRPr="00C45DD9">
              <w:rPr>
                <w:rFonts w:ascii="Calibri" w:eastAsiaTheme="majorEastAsia" w:hAnsi="Calibri" w:cs="Calibri"/>
                <w:color w:val="auto"/>
              </w:rPr>
              <w:t xml:space="preserve">Incorporated in 1998 </w:t>
            </w:r>
            <w:r>
              <w:rPr>
                <w:rFonts w:ascii="Calibri" w:eastAsiaTheme="majorEastAsia" w:hAnsi="Calibri" w:cs="Calibri"/>
                <w:color w:val="auto"/>
              </w:rPr>
              <w:t xml:space="preserve">to provide reliable natural gas supply as an alternative to auto fuel to Delhi residents. </w:t>
            </w:r>
            <w:r w:rsidRPr="00C45DD9">
              <w:rPr>
                <w:rFonts w:ascii="Calibri" w:eastAsiaTheme="majorEastAsia" w:hAnsi="Calibri" w:cs="Calibri"/>
                <w:color w:val="auto"/>
              </w:rPr>
              <w:t>The transport sector uses natural gas as Compressed Natural Gas (CNG), the domestic and commercial sectors use it as Piped Natural Gas (PNG)</w:t>
            </w:r>
            <w:r>
              <w:rPr>
                <w:rFonts w:ascii="Calibri" w:eastAsiaTheme="majorEastAsia" w:hAnsi="Calibri" w:cs="Calibri"/>
                <w:color w:val="auto"/>
              </w:rPr>
              <w:t xml:space="preserve">. </w:t>
            </w:r>
          </w:p>
          <w:p w:rsidR="003D4854" w:rsidRDefault="003D4854">
            <w:pPr>
              <w:pStyle w:val="ContactInfo"/>
              <w:rPr>
                <w:rFonts w:ascii="Calibri" w:eastAsiaTheme="majorEastAsia" w:hAnsi="Calibri" w:cs="Calibri"/>
                <w:color w:val="auto"/>
              </w:rPr>
            </w:pPr>
          </w:p>
          <w:p w:rsidR="003D4854" w:rsidRPr="00C45DD9" w:rsidRDefault="00B97670" w:rsidP="00B97670">
            <w:pPr>
              <w:pStyle w:val="ContactInfo"/>
              <w:rPr>
                <w:rFonts w:ascii="Calibri" w:eastAsiaTheme="majorEastAsia" w:hAnsi="Calibri" w:cs="Calibri"/>
                <w:color w:val="auto"/>
              </w:rPr>
            </w:pPr>
            <w:r w:rsidRPr="00B97670">
              <w:rPr>
                <w:rFonts w:ascii="Calibri" w:eastAsiaTheme="majorEastAsia" w:hAnsi="Calibri" w:cs="Calibri"/>
                <w:b/>
                <w:bCs/>
                <w:color w:val="auto"/>
              </w:rPr>
              <w:t>Shareholding</w:t>
            </w:r>
            <w:r>
              <w:rPr>
                <w:rFonts w:ascii="Calibri" w:eastAsiaTheme="majorEastAsia" w:hAnsi="Calibri" w:cs="Calibri"/>
                <w:color w:val="auto"/>
              </w:rPr>
              <w:t xml:space="preserve"> - Bharat Petroleum &amp; GAIL together own 45% equity as promoters. Zero equity dilution and </w:t>
            </w:r>
            <w:r w:rsidR="006F25E4">
              <w:rPr>
                <w:rFonts w:ascii="Calibri" w:eastAsiaTheme="majorEastAsia" w:hAnsi="Calibri" w:cs="Calibri"/>
                <w:color w:val="auto"/>
              </w:rPr>
              <w:t xml:space="preserve">share </w:t>
            </w:r>
            <w:r>
              <w:rPr>
                <w:rFonts w:ascii="Calibri" w:eastAsiaTheme="majorEastAsia" w:hAnsi="Calibri" w:cs="Calibri"/>
                <w:color w:val="auto"/>
              </w:rPr>
              <w:t>pledging in last 5 Yrs. FIIs hold 21.3% equity as of Mar’18</w:t>
            </w:r>
            <w:r w:rsidR="006273BB">
              <w:rPr>
                <w:rFonts w:ascii="Calibri" w:eastAsiaTheme="majorEastAsia" w:hAnsi="Calibri" w:cs="Calibri"/>
                <w:color w:val="auto"/>
              </w:rPr>
              <w:t>.</w:t>
            </w:r>
          </w:p>
          <w:tbl>
            <w:tblPr>
              <w:tblStyle w:val="NewsletterTable"/>
              <w:tblW w:w="0" w:type="auto"/>
              <w:tblLayout w:type="fixed"/>
              <w:tblLook w:val="0660" w:firstRow="1" w:lastRow="1" w:firstColumn="0" w:lastColumn="0" w:noHBand="1" w:noVBand="1"/>
              <w:tblDescription w:val="Intro letter"/>
            </w:tblPr>
            <w:tblGrid>
              <w:gridCol w:w="6955"/>
            </w:tblGrid>
            <w:tr w:rsidR="005923DB" w:rsidRPr="003D4854" w:rsidTr="00592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955" w:type="dxa"/>
                </w:tcPr>
                <w:p w:rsidR="005923DB" w:rsidRPr="003D4854" w:rsidRDefault="005923DB">
                  <w:pPr>
                    <w:pStyle w:val="TableSpace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</w:tc>
            </w:tr>
            <w:tr w:rsidR="005923DB" w:rsidRPr="003D4854" w:rsidTr="005923DB">
              <w:tc>
                <w:tcPr>
                  <w:tcW w:w="6955" w:type="dxa"/>
                </w:tcPr>
                <w:p w:rsidR="005923DB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  <w:r w:rsidRPr="003D4854"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  <w:t xml:space="preserve">Actual Financials </w:t>
                  </w:r>
                </w:p>
                <w:p w:rsidR="003D4854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Revenue – 5 </w:t>
                  </w:r>
                  <w:r w:rsidR="00B152CB" w:rsidRPr="000E1DBE">
                    <w:rPr>
                      <w:rFonts w:ascii="Calibri" w:eastAsiaTheme="majorEastAsia" w:hAnsi="Calibri" w:cs="Calibri"/>
                      <w:color w:val="auto"/>
                    </w:rPr>
                    <w:t>Yrs.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 CAGR (as of Mar18) ~13%; YOY (Mar18) ~ 21%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Earnings/Share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 – 5 </w:t>
                  </w:r>
                  <w:r w:rsidR="00B152CB" w:rsidRPr="000E1DBE">
                    <w:rPr>
                      <w:rFonts w:ascii="Calibri" w:eastAsiaTheme="majorEastAsia" w:hAnsi="Calibri" w:cs="Calibri"/>
                      <w:color w:val="auto"/>
                    </w:rPr>
                    <w:t>Yrs.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 CAGR (as of Mar18) 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~17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%; YOY (Mar18)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 ~ 17</w:t>
                  </w: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%</w:t>
                  </w:r>
                </w:p>
                <w:p w:rsidR="000E1DBE" w:rsidRPr="000E1DBE" w:rsidRDefault="000E1DBE" w:rsidP="000E1DBE">
                  <w:pPr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Net Profit margin (Mar’18) ~ 12%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RoE (Mar’17) – 20%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Zero debt 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Working capital is negative (current liabilities exceed current assets)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 xml:space="preserve">Operating Cash Flow/PAT &gt;1 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Receivables/Sales ~5-6%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Inventory/Sales ~`1%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</w:p>
                <w:p w:rsidR="000E1DBE" w:rsidRPr="000E1DBE" w:rsidRDefault="000E1DBE" w:rsidP="000E1DBE">
                  <w:pPr>
                    <w:pStyle w:val="ListParagraph"/>
                    <w:numPr>
                      <w:ilvl w:val="0"/>
                      <w:numId w:val="5"/>
                    </w:numPr>
                    <w:spacing w:before="0"/>
                    <w:ind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 w:rsidRPr="000E1DBE">
                    <w:rPr>
                      <w:rFonts w:ascii="Calibri" w:eastAsiaTheme="majorEastAsia" w:hAnsi="Calibri" w:cs="Calibri"/>
                      <w:color w:val="auto"/>
                    </w:rPr>
                    <w:t>Free Cash Flow &gt;0</w:t>
                  </w:r>
                </w:p>
                <w:p w:rsidR="000E1DBE" w:rsidRPr="000E1DBE" w:rsidRDefault="000E1DBE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b/>
                      <w:bCs/>
                      <w:color w:val="auto"/>
                    </w:rPr>
                  </w:pPr>
                </w:p>
                <w:p w:rsidR="000E1DBE" w:rsidRPr="00B152CB" w:rsidRDefault="00B152CB" w:rsidP="000E1DBE">
                  <w:pPr>
                    <w:pStyle w:val="ListParagraph"/>
                    <w:spacing w:before="0"/>
                    <w:ind w:left="0" w:right="0"/>
                    <w:rPr>
                      <w:rFonts w:ascii="Calibri" w:eastAsiaTheme="majorEastAsia" w:hAnsi="Calibri" w:cs="Calibri"/>
                      <w:color w:val="auto"/>
                    </w:rPr>
                  </w:pPr>
                  <w:r>
                    <w:rPr>
                      <w:rFonts w:ascii="Calibri" w:eastAsiaTheme="majorEastAsia" w:hAnsi="Calibri" w:cs="Calibri"/>
                      <w:color w:val="auto"/>
                    </w:rPr>
                    <w:t>Company’s financials are good and stable.</w:t>
                  </w:r>
                  <w:bookmarkStart w:id="0" w:name="_GoBack"/>
                  <w:bookmarkEnd w:id="0"/>
                </w:p>
                <w:p w:rsidR="000E1DBE" w:rsidRPr="000E1DBE" w:rsidRDefault="000E1DBE" w:rsidP="000E1DBE">
                  <w:pPr>
                    <w:spacing w:before="0" w:line="276" w:lineRule="auto"/>
                    <w:ind w:left="0" w:right="0"/>
                    <w:rPr>
                      <w:rFonts w:ascii="Calibri" w:eastAsiaTheme="majorEastAsia" w:hAnsi="Calibri" w:cs="Calibri"/>
                      <w:b/>
                      <w:bCs/>
                      <w:color w:val="auto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  <w:p w:rsidR="003D4854" w:rsidRPr="003D4854" w:rsidRDefault="003D4854">
                  <w:pPr>
                    <w:spacing w:after="200"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</w:tc>
            </w:tr>
            <w:tr w:rsidR="005923DB" w:rsidRPr="003D4854" w:rsidTr="005923DB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955" w:type="dxa"/>
                </w:tcPr>
                <w:p w:rsidR="005923DB" w:rsidRPr="003D4854" w:rsidRDefault="005923DB">
                  <w:pPr>
                    <w:pStyle w:val="TableSpace"/>
                    <w:rPr>
                      <w:rFonts w:asciiTheme="majorHAnsi" w:eastAsiaTheme="majorEastAsia" w:hAnsiTheme="majorHAnsi" w:cstheme="majorBidi"/>
                      <w:b/>
                      <w:bCs/>
                      <w:color w:val="956AAC" w:themeColor="accent5"/>
                      <w:sz w:val="28"/>
                      <w:szCs w:val="28"/>
                    </w:rPr>
                  </w:pPr>
                </w:p>
              </w:tc>
            </w:tr>
          </w:tbl>
          <w:p w:rsidR="005923DB" w:rsidRPr="003D4854" w:rsidRDefault="003D4854">
            <w:pPr>
              <w:pStyle w:val="Heading2"/>
              <w:spacing w:line="276" w:lineRule="auto"/>
              <w:outlineLvl w:val="1"/>
              <w:rPr>
                <w:color w:val="956AAC" w:themeColor="accent5"/>
                <w:sz w:val="28"/>
                <w:szCs w:val="28"/>
              </w:rPr>
            </w:pPr>
            <w:r w:rsidRPr="003D4854">
              <w:rPr>
                <w:color w:val="956AAC" w:themeColor="accent5"/>
                <w:sz w:val="28"/>
                <w:szCs w:val="28"/>
              </w:rPr>
              <w:t xml:space="preserve">What future looks like </w:t>
            </w:r>
          </w:p>
          <w:p w:rsidR="005923DB" w:rsidRPr="006273BB" w:rsidRDefault="006273BB" w:rsidP="006273BB">
            <w:pPr>
              <w:pStyle w:val="ListParagraph"/>
              <w:numPr>
                <w:ilvl w:val="0"/>
                <w:numId w:val="1"/>
              </w:numPr>
              <w:rPr>
                <w:rFonts w:ascii="Calibri" w:eastAsiaTheme="majorEastAsia" w:hAnsi="Calibri" w:cs="Calibri"/>
                <w:color w:val="auto"/>
              </w:rPr>
            </w:pPr>
            <w:r w:rsidRPr="006273BB">
              <w:rPr>
                <w:rFonts w:ascii="Calibri" w:eastAsiaTheme="majorEastAsia" w:hAnsi="Calibri" w:cs="Calibri"/>
                <w:color w:val="auto"/>
              </w:rPr>
              <w:t xml:space="preserve">Over and above Delhi, IGL has started distributing natural gas in Gurgaon, Rewari and Karnal. </w:t>
            </w:r>
          </w:p>
          <w:p w:rsidR="006273BB" w:rsidRPr="006273BB" w:rsidRDefault="006273BB" w:rsidP="006273BB">
            <w:pPr>
              <w:pStyle w:val="ListParagraph"/>
              <w:numPr>
                <w:ilvl w:val="0"/>
                <w:numId w:val="1"/>
              </w:numPr>
              <w:rPr>
                <w:rFonts w:ascii="Calibri" w:eastAsiaTheme="majorEastAsia" w:hAnsi="Calibri" w:cs="Calibri"/>
                <w:color w:val="auto"/>
              </w:rPr>
            </w:pPr>
            <w:r>
              <w:rPr>
                <w:rFonts w:ascii="Calibri" w:eastAsiaTheme="majorEastAsia" w:hAnsi="Calibri" w:cs="Calibri"/>
                <w:color w:val="auto"/>
              </w:rPr>
              <w:t>Mgmt.</w:t>
            </w:r>
            <w:r w:rsidRPr="006273BB">
              <w:rPr>
                <w:rFonts w:ascii="Calibri" w:eastAsiaTheme="majorEastAsia" w:hAnsi="Calibri" w:cs="Calibri"/>
                <w:color w:val="auto"/>
              </w:rPr>
              <w:t xml:space="preserve"> </w:t>
            </w:r>
            <w:r>
              <w:rPr>
                <w:rFonts w:ascii="Calibri" w:eastAsiaTheme="majorEastAsia" w:hAnsi="Calibri" w:cs="Calibri"/>
                <w:color w:val="auto"/>
              </w:rPr>
              <w:t>has submitted bids for</w:t>
            </w:r>
            <w:r w:rsidRPr="006273BB">
              <w:rPr>
                <w:rFonts w:ascii="Calibri" w:eastAsiaTheme="majorEastAsia" w:hAnsi="Calibri" w:cs="Calibri"/>
                <w:color w:val="auto"/>
              </w:rPr>
              <w:t xml:space="preserve"> gas distribution</w:t>
            </w:r>
            <w:r>
              <w:rPr>
                <w:rFonts w:ascii="Calibri" w:eastAsiaTheme="majorEastAsia" w:hAnsi="Calibri" w:cs="Calibri"/>
                <w:color w:val="auto"/>
              </w:rPr>
              <w:t xml:space="preserve"> permit</w:t>
            </w:r>
            <w:r w:rsidRPr="006273BB">
              <w:rPr>
                <w:rFonts w:ascii="Calibri" w:eastAsiaTheme="majorEastAsia" w:hAnsi="Calibri" w:cs="Calibri"/>
                <w:color w:val="auto"/>
              </w:rPr>
              <w:t xml:space="preserve"> in new cities</w:t>
            </w:r>
            <w:r>
              <w:rPr>
                <w:rFonts w:ascii="Calibri" w:eastAsiaTheme="majorEastAsia" w:hAnsi="Calibri" w:cs="Calibri"/>
                <w:color w:val="auto"/>
              </w:rPr>
              <w:t>.</w:t>
            </w:r>
          </w:p>
          <w:p w:rsidR="006273BB" w:rsidRPr="006273BB" w:rsidRDefault="006273BB" w:rsidP="006273BB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  <w:r w:rsidRPr="006273BB">
              <w:rPr>
                <w:rFonts w:ascii="Calibri" w:eastAsiaTheme="majorEastAsia" w:hAnsi="Calibri" w:cs="Calibri"/>
                <w:color w:val="auto"/>
              </w:rPr>
              <w:t>Plenty of govt. thrust on clean fuel usage. Recent ban on pet coke use</w:t>
            </w:r>
            <w:r>
              <w:rPr>
                <w:rFonts w:ascii="Calibri" w:eastAsiaTheme="majorEastAsia" w:hAnsi="Calibri" w:cs="Calibri"/>
                <w:color w:val="auto"/>
              </w:rPr>
              <w:t>.</w:t>
            </w:r>
          </w:p>
          <w:p w:rsidR="006273BB" w:rsidRPr="006273BB" w:rsidRDefault="006273BB" w:rsidP="006273BB">
            <w:pPr>
              <w:ind w:left="0"/>
              <w:rPr>
                <w:rFonts w:ascii="Calibri" w:eastAsiaTheme="majorEastAsia" w:hAnsi="Calibri" w:cs="Calibri"/>
                <w:color w:val="auto"/>
              </w:rPr>
            </w:pPr>
            <w:r w:rsidRPr="006273BB">
              <w:rPr>
                <w:rFonts w:ascii="Calibri" w:eastAsiaTheme="majorEastAsia" w:hAnsi="Calibri" w:cs="Calibri"/>
                <w:color w:val="auto"/>
              </w:rPr>
              <w:t xml:space="preserve">All of </w:t>
            </w:r>
            <w:r>
              <w:rPr>
                <w:rFonts w:ascii="Calibri" w:eastAsiaTheme="majorEastAsia" w:hAnsi="Calibri" w:cs="Calibri"/>
                <w:color w:val="auto"/>
              </w:rPr>
              <w:t xml:space="preserve">these aspects provide clear visibility that IGL will continue to </w:t>
            </w:r>
            <w:r w:rsidR="0016010E">
              <w:rPr>
                <w:rFonts w:ascii="Calibri" w:eastAsiaTheme="majorEastAsia" w:hAnsi="Calibri" w:cs="Calibri"/>
                <w:color w:val="auto"/>
              </w:rPr>
              <w:t>report healthy volume growth.</w:t>
            </w:r>
          </w:p>
          <w:p w:rsidR="006273BB" w:rsidRPr="006273BB" w:rsidRDefault="006273BB" w:rsidP="006273BB">
            <w:pPr>
              <w:pStyle w:val="ListParagraph"/>
              <w:ind w:left="360"/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</w:p>
        </w:tc>
        <w:tc>
          <w:tcPr>
            <w:tcW w:w="418" w:type="dxa"/>
          </w:tcPr>
          <w:p w:rsidR="005923DB" w:rsidRDefault="005923DB"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3427" w:type="dxa"/>
          </w:tcPr>
          <w:p w:rsidR="003D4854" w:rsidRDefault="00C34B02" w:rsidP="003D4854">
            <w:pPr>
              <w:pStyle w:val="Photo"/>
              <w:jc w:val="left"/>
            </w:pPr>
            <w:r>
              <w:object w:dxaOrig="7080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89.25pt" o:ole="">
                  <v:imagedata r:id="rId8" o:title=""/>
                </v:shape>
                <o:OLEObject Type="Embed" ProgID="PBrush" ShapeID="_x0000_i1025" DrawAspect="Content" ObjectID="_1590610283" r:id="rId9"/>
              </w:object>
            </w:r>
          </w:p>
          <w:p w:rsidR="005923DB" w:rsidRPr="003D4854" w:rsidRDefault="003D4854" w:rsidP="003D4854">
            <w:pPr>
              <w:pStyle w:val="Photo"/>
              <w:jc w:val="left"/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  <w:t>Moat (if it exists)</w:t>
            </w:r>
          </w:p>
          <w:p w:rsidR="0016010E" w:rsidRDefault="0016010E" w:rsidP="0016010E">
            <w:pPr>
              <w:pStyle w:val="Heading2"/>
              <w:numPr>
                <w:ilvl w:val="0"/>
                <w:numId w:val="2"/>
              </w:numPr>
              <w:spacing w:line="276" w:lineRule="auto"/>
              <w:outlineLvl w:val="1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16010E">
              <w:rPr>
                <w:rFonts w:ascii="Calibri" w:hAnsi="Calibri" w:cs="Calibri"/>
                <w:b w:val="0"/>
                <w:bCs w:val="0"/>
                <w:color w:val="auto"/>
              </w:rPr>
              <w:t xml:space="preserve">IGL is the sole </w:t>
            </w:r>
            <w:r>
              <w:rPr>
                <w:rFonts w:ascii="Calibri" w:hAnsi="Calibri" w:cs="Calibri"/>
                <w:b w:val="0"/>
                <w:bCs w:val="0"/>
                <w:color w:val="auto"/>
              </w:rPr>
              <w:t xml:space="preserve">distributor of gas in Delhi and adjoining areas, giving it a ‘monopolistic’ </w:t>
            </w:r>
            <w:r w:rsidR="008B2C33">
              <w:rPr>
                <w:rFonts w:ascii="Calibri" w:hAnsi="Calibri" w:cs="Calibri"/>
                <w:b w:val="0"/>
                <w:bCs w:val="0"/>
                <w:color w:val="auto"/>
              </w:rPr>
              <w:t>business model</w:t>
            </w:r>
            <w:r>
              <w:rPr>
                <w:rFonts w:ascii="Calibri" w:hAnsi="Calibri" w:cs="Calibri"/>
                <w:b w:val="0"/>
                <w:bCs w:val="0"/>
                <w:color w:val="auto"/>
              </w:rPr>
              <w:t xml:space="preserve">. </w:t>
            </w:r>
          </w:p>
          <w:p w:rsidR="0016010E" w:rsidRPr="008812DD" w:rsidRDefault="0016010E" w:rsidP="0016010E">
            <w:pPr>
              <w:pStyle w:val="Heading2"/>
              <w:numPr>
                <w:ilvl w:val="0"/>
                <w:numId w:val="2"/>
              </w:numPr>
              <w:spacing w:line="276" w:lineRule="auto"/>
              <w:outlineLvl w:val="1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</w:rPr>
              <w:t xml:space="preserve">The company possesses ‘pricing power’ and has been able to raise prices to accommodate cost increase pressure </w:t>
            </w:r>
            <w:r w:rsidRPr="0016010E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</w:rPr>
              <w:t>(recent one on 29</w:t>
            </w:r>
            <w:r w:rsidRPr="0016010E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  <w:vertAlign w:val="superscript"/>
              </w:rPr>
              <w:t>th</w:t>
            </w:r>
            <w:r w:rsidRPr="0016010E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May)</w:t>
            </w:r>
            <w:r w:rsidR="008812DD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. </w:t>
            </w:r>
            <w:r w:rsidR="008812DD" w:rsidRPr="008812DD">
              <w:rPr>
                <w:rFonts w:ascii="Calibri" w:hAnsi="Calibri" w:cs="Calibri"/>
                <w:b w:val="0"/>
                <w:bCs w:val="0"/>
                <w:color w:val="auto"/>
              </w:rPr>
              <w:t xml:space="preserve">Operating </w:t>
            </w:r>
            <w:r w:rsidR="00B152CB" w:rsidRPr="008812DD">
              <w:rPr>
                <w:rFonts w:ascii="Calibri" w:hAnsi="Calibri" w:cs="Calibri"/>
                <w:b w:val="0"/>
                <w:bCs w:val="0"/>
                <w:color w:val="auto"/>
              </w:rPr>
              <w:t>Profit</w:t>
            </w:r>
            <w:r w:rsidR="008812DD" w:rsidRPr="008812DD">
              <w:rPr>
                <w:rFonts w:ascii="Calibri" w:hAnsi="Calibri" w:cs="Calibri"/>
                <w:b w:val="0"/>
                <w:bCs w:val="0"/>
                <w:color w:val="auto"/>
              </w:rPr>
              <w:t xml:space="preserve"> margin stable ~ 22-25% in last 5 Yrs.</w:t>
            </w:r>
          </w:p>
          <w:p w:rsidR="005923DB" w:rsidRPr="0016010E" w:rsidRDefault="0016010E" w:rsidP="0016010E">
            <w:pPr>
              <w:pStyle w:val="Heading2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</w:rPr>
              <w:t>Natural gas continues to be cheaper than Petrol and Diesel and hence more economically viable for common man.</w:t>
            </w:r>
            <w:r w:rsidRPr="0016010E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</w:p>
          <w:tbl>
            <w:tblPr>
              <w:tblStyle w:val="NewsletterTable"/>
              <w:tblW w:w="0" w:type="auto"/>
              <w:jc w:val="center"/>
              <w:tblLayout w:type="fixed"/>
              <w:tblLook w:val="04A0" w:firstRow="1" w:lastRow="0" w:firstColumn="1" w:lastColumn="0" w:noHBand="0" w:noVBand="1"/>
              <w:tblDescription w:val="Announcement table"/>
            </w:tblPr>
            <w:tblGrid>
              <w:gridCol w:w="3427"/>
            </w:tblGrid>
            <w:tr w:rsidR="005923DB" w:rsidTr="00592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3427" w:type="dxa"/>
                  <w:tcBorders>
                    <w:bottom w:val="nil"/>
                  </w:tcBorders>
                </w:tcPr>
                <w:p w:rsidR="005923DB" w:rsidRDefault="005923DB">
                  <w:pPr>
                    <w:pStyle w:val="TableSpace"/>
                  </w:pPr>
                </w:p>
              </w:tc>
            </w:tr>
            <w:tr w:rsidR="005923DB" w:rsidTr="005923DB">
              <w:trPr>
                <w:trHeight w:val="5760"/>
                <w:jc w:val="center"/>
              </w:trPr>
              <w:tc>
                <w:tcPr>
                  <w:tcW w:w="3427" w:type="dxa"/>
                  <w:tcBorders>
                    <w:top w:val="nil"/>
                    <w:bottom w:val="nil"/>
                  </w:tcBorders>
                </w:tcPr>
                <w:p w:rsidR="005923DB" w:rsidRDefault="003D4854">
                  <w:pPr>
                    <w:pStyle w:val="Heading1"/>
                    <w:spacing w:after="200" w:line="276" w:lineRule="auto"/>
                    <w:outlineLvl w:val="0"/>
                  </w:pPr>
                  <w:r>
                    <w:t>People running the company</w:t>
                  </w:r>
                </w:p>
                <w:p w:rsidR="005923DB" w:rsidRPr="008B2C33" w:rsidRDefault="008B2C3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B2C33">
                    <w:rPr>
                      <w:sz w:val="20"/>
                      <w:szCs w:val="20"/>
                    </w:rPr>
                    <w:t>S Ramesh, Chairman</w:t>
                  </w:r>
                </w:p>
                <w:p w:rsidR="008B2C33" w:rsidRDefault="008B2C3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B2C33">
                    <w:rPr>
                      <w:sz w:val="20"/>
                      <w:szCs w:val="20"/>
                    </w:rPr>
                    <w:t>E.S Ranganathan, Managing Director</w:t>
                  </w:r>
                </w:p>
                <w:p w:rsidR="001A7318" w:rsidRDefault="00A56FEA">
                  <w:pPr>
                    <w:spacing w:after="200" w:line="276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~570 permanent employees, as of 31</w:t>
                  </w:r>
                  <w:r w:rsidRPr="00A56FEA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Mar, 2017 drawing salary of 91 Cr. INR. </w:t>
                  </w:r>
                  <w:r w:rsidRPr="00A56FEA">
                    <w:rPr>
                      <w:i/>
                      <w:iCs/>
                      <w:sz w:val="18"/>
                      <w:szCs w:val="18"/>
                    </w:rPr>
                    <w:t>(Avg. 16 lakh/employee INR.)</w:t>
                  </w:r>
                </w:p>
                <w:p w:rsidR="00CC56A6" w:rsidRDefault="00CC56A6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CC56A6">
                    <w:rPr>
                      <w:sz w:val="20"/>
                      <w:szCs w:val="20"/>
                    </w:rPr>
                    <w:t>Management salary is modest and top employees (by salary) have 25-30 yrs. of experience.</w:t>
                  </w:r>
                </w:p>
                <w:p w:rsidR="009F1031" w:rsidRDefault="009F1031">
                  <w:pPr>
                    <w:spacing w:after="200" w:line="276" w:lineRule="auto"/>
                  </w:pPr>
                  <w:r w:rsidRPr="009F1031">
                    <w:rPr>
                      <w:sz w:val="14"/>
                      <w:szCs w:val="14"/>
                    </w:rPr>
                    <w:t>http://www.iglonline.net//english/5000_media/Investor</w:t>
                  </w:r>
                  <w:r w:rsidRPr="009F1031">
                    <w:t>_</w:t>
                  </w:r>
                  <w:r w:rsidRPr="009F1031">
                    <w:rPr>
                      <w:sz w:val="14"/>
                      <w:szCs w:val="14"/>
                    </w:rPr>
                    <w:t>Relations/IGL-Annual-Report-2016-17.pdf</w:t>
                  </w:r>
                </w:p>
              </w:tc>
            </w:tr>
          </w:tbl>
          <w:p w:rsidR="005923DB" w:rsidRDefault="005923DB">
            <w:pPr>
              <w:spacing w:after="200" w:line="276" w:lineRule="auto"/>
            </w:pPr>
          </w:p>
        </w:tc>
      </w:tr>
    </w:tbl>
    <w:p w:rsidR="005923DB" w:rsidRDefault="00804671">
      <w:pPr>
        <w:pStyle w:val="NoSpacing"/>
      </w:pPr>
      <w:r>
        <w:br w:type="page"/>
      </w:r>
    </w:p>
    <w:tbl>
      <w:tblPr>
        <w:tblStyle w:val="NewsletterTable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Caption w:val="Newsletter two column layout table"/>
      </w:tblPr>
      <w:tblGrid>
        <w:gridCol w:w="6955"/>
        <w:gridCol w:w="425"/>
        <w:gridCol w:w="3420"/>
      </w:tblGrid>
      <w:tr w:rsidR="005923DB" w:rsidTr="000B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032"/>
        </w:trPr>
        <w:tc>
          <w:tcPr>
            <w:tcW w:w="6955" w:type="dxa"/>
          </w:tcPr>
          <w:p w:rsidR="005923DB" w:rsidRDefault="003B3AF3" w:rsidP="00FD70F3">
            <w:pPr>
              <w:pStyle w:val="Heading1"/>
              <w:spacing w:after="200" w:line="276" w:lineRule="auto"/>
              <w:ind w:left="0"/>
              <w:outlineLvl w:val="0"/>
            </w:pPr>
            <w:r>
              <w:lastRenderedPageBreak/>
              <w:t>Risk/</w:t>
            </w:r>
            <w:r w:rsidR="003D4854">
              <w:t>Red Flags (if exists)</w:t>
            </w:r>
          </w:p>
          <w:p w:rsidR="005923DB" w:rsidRDefault="003B3AF3" w:rsidP="003B3AF3">
            <w:pPr>
              <w:pStyle w:val="ListParagraph"/>
              <w:numPr>
                <w:ilvl w:val="0"/>
                <w:numId w:val="3"/>
              </w:numPr>
              <w:rPr>
                <w:rFonts w:ascii="Calibri" w:eastAsiaTheme="majorEastAsia" w:hAnsi="Calibri" w:cs="Calibri"/>
                <w:color w:val="auto"/>
              </w:rPr>
            </w:pPr>
            <w:r w:rsidRPr="003B3AF3">
              <w:rPr>
                <w:rFonts w:ascii="Calibri" w:eastAsiaTheme="majorEastAsia" w:hAnsi="Calibri" w:cs="Calibri"/>
                <w:color w:val="auto"/>
              </w:rPr>
              <w:t>Govt./PNGRB interference in IGL’s pricing structure. There was one such incidence in past which IGL challenged in court.</w:t>
            </w:r>
          </w:p>
          <w:p w:rsidR="003B3AF3" w:rsidRPr="003B3AF3" w:rsidRDefault="003B3AF3" w:rsidP="003B3AF3">
            <w:pPr>
              <w:pStyle w:val="ListParagraph"/>
              <w:ind w:left="504"/>
              <w:rPr>
                <w:rFonts w:ascii="Calibri" w:eastAsiaTheme="majorEastAsia" w:hAnsi="Calibri" w:cs="Calibri"/>
                <w:color w:val="auto"/>
              </w:rPr>
            </w:pPr>
          </w:p>
          <w:p w:rsidR="003B3AF3" w:rsidRDefault="003B3AF3" w:rsidP="003B3AF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eastAsiaTheme="majorEastAsia" w:hAnsi="Calibri" w:cs="Calibri"/>
                <w:color w:val="auto"/>
              </w:rPr>
            </w:pPr>
            <w:r w:rsidRPr="003B3AF3">
              <w:rPr>
                <w:rFonts w:ascii="Calibri" w:eastAsiaTheme="majorEastAsia" w:hAnsi="Calibri" w:cs="Calibri"/>
                <w:color w:val="auto"/>
              </w:rPr>
              <w:t>INR currency depreciation</w:t>
            </w:r>
            <w:r>
              <w:rPr>
                <w:rFonts w:ascii="Calibri" w:eastAsiaTheme="majorEastAsia" w:hAnsi="Calibri" w:cs="Calibri"/>
                <w:color w:val="auto"/>
              </w:rPr>
              <w:t>.</w:t>
            </w:r>
          </w:p>
          <w:p w:rsidR="003B3AF3" w:rsidRPr="003B3AF3" w:rsidRDefault="003B3AF3" w:rsidP="003B3AF3">
            <w:pPr>
              <w:spacing w:before="0"/>
              <w:ind w:left="0"/>
              <w:rPr>
                <w:rFonts w:ascii="Calibri" w:eastAsiaTheme="majorEastAsia" w:hAnsi="Calibri" w:cs="Calibri"/>
                <w:color w:val="auto"/>
                <w:sz w:val="12"/>
                <w:szCs w:val="12"/>
              </w:rPr>
            </w:pPr>
          </w:p>
          <w:p w:rsidR="003B3AF3" w:rsidRPr="003B3AF3" w:rsidRDefault="003B3AF3" w:rsidP="003B3AF3">
            <w:pPr>
              <w:pStyle w:val="ListParagraph"/>
              <w:spacing w:before="0"/>
              <w:rPr>
                <w:rFonts w:ascii="Calibri" w:eastAsiaTheme="majorEastAsia" w:hAnsi="Calibri" w:cs="Calibri"/>
                <w:color w:val="auto"/>
                <w:sz w:val="4"/>
                <w:szCs w:val="4"/>
              </w:rPr>
            </w:pPr>
          </w:p>
          <w:p w:rsidR="003B3AF3" w:rsidRPr="003B3AF3" w:rsidRDefault="003B3AF3" w:rsidP="003B3AF3">
            <w:pPr>
              <w:spacing w:before="0"/>
              <w:rPr>
                <w:rFonts w:ascii="Calibri" w:eastAsiaTheme="majorEastAsia" w:hAnsi="Calibri" w:cs="Calibri"/>
                <w:color w:val="auto"/>
                <w:sz w:val="2"/>
                <w:szCs w:val="2"/>
              </w:rPr>
            </w:pPr>
          </w:p>
          <w:p w:rsidR="003B3AF3" w:rsidRDefault="003B3AF3" w:rsidP="003B3AF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eastAsiaTheme="majorEastAsia" w:hAnsi="Calibri" w:cs="Calibri"/>
                <w:color w:val="auto"/>
              </w:rPr>
            </w:pPr>
            <w:r w:rsidRPr="003B3AF3">
              <w:rPr>
                <w:rFonts w:ascii="Calibri" w:eastAsiaTheme="majorEastAsia" w:hAnsi="Calibri" w:cs="Calibri"/>
                <w:color w:val="auto"/>
              </w:rPr>
              <w:t>C</w:t>
            </w:r>
            <w:r w:rsidRPr="003B3AF3">
              <w:rPr>
                <w:rFonts w:ascii="Calibri" w:eastAsiaTheme="majorEastAsia" w:hAnsi="Calibri" w:cs="Calibri"/>
                <w:color w:val="auto"/>
              </w:rPr>
              <w:t>ut back in domestic city gas allocation</w:t>
            </w:r>
            <w:r w:rsidRPr="003B3AF3">
              <w:rPr>
                <w:rFonts w:ascii="Calibri" w:eastAsiaTheme="majorEastAsia" w:hAnsi="Calibri" w:cs="Calibri"/>
                <w:color w:val="auto"/>
              </w:rPr>
              <w:t>.</w:t>
            </w:r>
          </w:p>
          <w:p w:rsidR="003B3AF3" w:rsidRPr="003B3AF3" w:rsidRDefault="003B3AF3" w:rsidP="003B3AF3">
            <w:pPr>
              <w:pStyle w:val="ListParagraph"/>
              <w:ind w:left="504"/>
              <w:rPr>
                <w:rFonts w:ascii="Calibri" w:eastAsiaTheme="majorEastAsia" w:hAnsi="Calibri" w:cs="Calibri"/>
                <w:color w:val="auto"/>
              </w:rPr>
            </w:pPr>
          </w:p>
          <w:p w:rsidR="003B3AF3" w:rsidRPr="003B3AF3" w:rsidRDefault="003B3AF3" w:rsidP="003B3AF3">
            <w:pPr>
              <w:pStyle w:val="ListParagraph"/>
              <w:numPr>
                <w:ilvl w:val="0"/>
                <w:numId w:val="3"/>
              </w:numPr>
              <w:rPr>
                <w:rFonts w:ascii="Calibri" w:eastAsiaTheme="majorEastAsia" w:hAnsi="Calibri" w:cs="Calibri"/>
                <w:color w:val="auto"/>
              </w:rPr>
            </w:pPr>
            <w:r w:rsidRPr="003B3AF3">
              <w:rPr>
                <w:rFonts w:ascii="Calibri" w:eastAsiaTheme="majorEastAsia" w:hAnsi="Calibri" w:cs="Calibri"/>
                <w:color w:val="auto"/>
              </w:rPr>
              <w:t xml:space="preserve">Electricity driven vehicles </w:t>
            </w:r>
            <w:r>
              <w:rPr>
                <w:rFonts w:ascii="Calibri" w:eastAsiaTheme="majorEastAsia" w:hAnsi="Calibri" w:cs="Calibri"/>
                <w:color w:val="auto"/>
              </w:rPr>
              <w:t>as an alternative to CNG.</w:t>
            </w:r>
          </w:p>
          <w:p w:rsidR="003D4854" w:rsidRDefault="003D4854"/>
          <w:p w:rsidR="003D4854" w:rsidRDefault="003D4854"/>
          <w:p w:rsidR="003D4854" w:rsidRDefault="003D4854" w:rsidP="000B2293">
            <w:pPr>
              <w:ind w:left="0"/>
            </w:pPr>
          </w:p>
          <w:p w:rsidR="003D4854" w:rsidRPr="003D4854" w:rsidRDefault="003D4854">
            <w:pPr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</w:pPr>
            <w:r w:rsidRPr="003D4854"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  <w:t>Importance</w:t>
            </w:r>
            <w:r w:rsidR="00B152CB"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  <w:t xml:space="preserve"> to my</w:t>
            </w:r>
            <w:r w:rsidRPr="003D4854">
              <w:rPr>
                <w:rFonts w:asciiTheme="majorHAnsi" w:eastAsiaTheme="majorEastAsia" w:hAnsiTheme="majorHAnsi" w:cstheme="majorBidi"/>
                <w:b/>
                <w:bCs/>
                <w:color w:val="956AAC" w:themeColor="accent5"/>
                <w:sz w:val="28"/>
                <w:szCs w:val="28"/>
              </w:rPr>
              <w:t xml:space="preserve"> portfolio</w:t>
            </w:r>
          </w:p>
          <w:p w:rsidR="003D4854" w:rsidRDefault="000B2293" w:rsidP="00B152CB">
            <w:r w:rsidRPr="000B2293">
              <w:rPr>
                <w:rFonts w:ascii="Calibri" w:eastAsiaTheme="majorEastAsia" w:hAnsi="Calibri" w:cs="Calibri"/>
                <w:color w:val="auto"/>
              </w:rPr>
              <w:t xml:space="preserve">IGL forms ~15% of my portfolio. </w:t>
            </w:r>
            <w:r w:rsidR="00B152CB">
              <w:rPr>
                <w:rFonts w:ascii="Calibri" w:eastAsiaTheme="majorEastAsia" w:hAnsi="Calibri" w:cs="Calibri"/>
                <w:color w:val="auto"/>
              </w:rPr>
              <w:t>Have been buying the equity in staggered manner in last 4 Yrs.</w:t>
            </w:r>
          </w:p>
        </w:tc>
        <w:tc>
          <w:tcPr>
            <w:tcW w:w="425" w:type="dxa"/>
          </w:tcPr>
          <w:p w:rsidR="005923DB" w:rsidRPr="000B2293" w:rsidRDefault="005923DB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3420" w:type="dxa"/>
          </w:tcPr>
          <w:p w:rsidR="005923DB" w:rsidRPr="000B2293" w:rsidRDefault="005923DB" w:rsidP="000B2293">
            <w:pPr>
              <w:pStyle w:val="Photo"/>
              <w:jc w:val="left"/>
              <w:rPr>
                <w:sz w:val="4"/>
                <w:szCs w:val="4"/>
              </w:rPr>
            </w:pPr>
          </w:p>
          <w:tbl>
            <w:tblPr>
              <w:tblStyle w:val="NewsletterTable"/>
              <w:tblW w:w="0" w:type="auto"/>
              <w:jc w:val="center"/>
              <w:tblLayout w:type="fixed"/>
              <w:tblLook w:val="04A0" w:firstRow="1" w:lastRow="0" w:firstColumn="1" w:lastColumn="0" w:noHBand="0" w:noVBand="1"/>
              <w:tblDescription w:val="Callout table"/>
            </w:tblPr>
            <w:tblGrid>
              <w:gridCol w:w="3351"/>
            </w:tblGrid>
            <w:tr w:rsidR="005923DB" w:rsidRPr="003B3AF3" w:rsidTr="000B22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"/>
                <w:jc w:val="center"/>
              </w:trPr>
              <w:tc>
                <w:tcPr>
                  <w:tcW w:w="3351" w:type="dxa"/>
                  <w:tcBorders>
                    <w:bottom w:val="nil"/>
                  </w:tcBorders>
                </w:tcPr>
                <w:p w:rsidR="005923DB" w:rsidRPr="003B3AF3" w:rsidRDefault="005923DB">
                  <w:pPr>
                    <w:pStyle w:val="TableSpace"/>
                    <w:rPr>
                      <w:sz w:val="20"/>
                      <w:szCs w:val="20"/>
                    </w:rPr>
                  </w:pPr>
                </w:p>
              </w:tc>
            </w:tr>
            <w:tr w:rsidR="005923DB" w:rsidRPr="003B3AF3" w:rsidTr="000B2293">
              <w:trPr>
                <w:trHeight w:val="3034"/>
                <w:jc w:val="center"/>
              </w:trPr>
              <w:tc>
                <w:tcPr>
                  <w:tcW w:w="3351" w:type="dxa"/>
                  <w:tcBorders>
                    <w:top w:val="nil"/>
                    <w:bottom w:val="nil"/>
                  </w:tcBorders>
                </w:tcPr>
                <w:p w:rsidR="005923DB" w:rsidRPr="000B2293" w:rsidRDefault="003D4854">
                  <w:pPr>
                    <w:pStyle w:val="Heading1"/>
                    <w:spacing w:after="200" w:line="276" w:lineRule="auto"/>
                    <w:outlineLvl w:val="0"/>
                  </w:pPr>
                  <w:r w:rsidRPr="000B2293">
                    <w:t>Valuation</w:t>
                  </w:r>
                </w:p>
                <w:p w:rsidR="003D4854" w:rsidRDefault="003B3AF3" w:rsidP="003D4854">
                  <w:pPr>
                    <w:pStyle w:val="Heading2"/>
                    <w:ind w:left="0"/>
                    <w:outlineLvl w:val="1"/>
                    <w:rPr>
                      <w:rFonts w:asciiTheme="minorHAnsi" w:eastAsiaTheme="minorEastAsia" w:hAnsiTheme="minorHAnsi" w:cstheme="minorBidi"/>
                      <w:b w:val="0"/>
                      <w:bCs w:val="0"/>
                      <w:color w:val="262626" w:themeColor="text1" w:themeTint="D9"/>
                      <w:sz w:val="20"/>
                      <w:szCs w:val="20"/>
                    </w:rPr>
                  </w:pPr>
                  <w:r w:rsidRPr="003B3AF3">
                    <w:rPr>
                      <w:rFonts w:asciiTheme="minorHAnsi" w:eastAsiaTheme="minorEastAsia" w:hAnsiTheme="minorHAnsi" w:cstheme="minorBidi"/>
                      <w:b w:val="0"/>
                      <w:bCs w:val="0"/>
                      <w:color w:val="262626" w:themeColor="text1" w:themeTint="D9"/>
                      <w:sz w:val="20"/>
                      <w:szCs w:val="20"/>
                    </w:rPr>
                    <w:t xml:space="preserve"> Company 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bCs w:val="0"/>
                      <w:color w:val="262626" w:themeColor="text1" w:themeTint="D9"/>
                      <w:sz w:val="20"/>
                      <w:szCs w:val="20"/>
                    </w:rPr>
                    <w:t xml:space="preserve">has been consistently re-rated in the last 5 Yrs. Avg. PE ratio was ~12 in Mar13. The current PE is ~27. </w:t>
                  </w:r>
                </w:p>
                <w:p w:rsidR="005923DB" w:rsidRPr="003B3AF3" w:rsidRDefault="003B3AF3" w:rsidP="000B2293">
                  <w:pPr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rise in PE corresponds to rising visibility and stability </w:t>
                  </w:r>
                  <w:r w:rsidR="000B2293">
                    <w:rPr>
                      <w:sz w:val="20"/>
                      <w:szCs w:val="20"/>
                    </w:rPr>
                    <w:t>of earnings</w:t>
                  </w:r>
                </w:p>
              </w:tc>
            </w:tr>
          </w:tbl>
          <w:p w:rsidR="005923DB" w:rsidRPr="003B3AF3" w:rsidRDefault="005923D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923DB" w:rsidRDefault="005923DB">
      <w:pPr>
        <w:pStyle w:val="NoSpacing"/>
      </w:pPr>
    </w:p>
    <w:sectPr w:rsidR="005923DB"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A" w:rsidRDefault="00AC362A">
      <w:pPr>
        <w:spacing w:before="0" w:after="0" w:line="240" w:lineRule="auto"/>
      </w:pPr>
      <w:r>
        <w:separator/>
      </w:r>
    </w:p>
  </w:endnote>
  <w:endnote w:type="continuationSeparator" w:id="0">
    <w:p w:rsidR="00AC362A" w:rsidRDefault="00AC3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0" w:type="auto"/>
      <w:tblLayout w:type="fixed"/>
      <w:tblLook w:val="0660" w:firstRow="1" w:lastRow="1" w:firstColumn="0" w:lastColumn="0" w:noHBand="1" w:noVBand="1"/>
      <w:tblCaption w:val="Page numbering"/>
    </w:tblPr>
    <w:tblGrid>
      <w:gridCol w:w="6951"/>
      <w:gridCol w:w="421"/>
      <w:gridCol w:w="3428"/>
    </w:tblGrid>
    <w:tr w:rsidR="005923DB" w:rsidTr="005923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6951" w:type="dxa"/>
        </w:tcPr>
        <w:p w:rsidR="005923DB" w:rsidRDefault="005923DB">
          <w:pPr>
            <w:pStyle w:val="TableSpace"/>
          </w:pPr>
        </w:p>
      </w:tc>
      <w:tc>
        <w:tcPr>
          <w:tcW w:w="421" w:type="dxa"/>
          <w:tcBorders>
            <w:top w:val="nil"/>
            <w:bottom w:val="nil"/>
          </w:tcBorders>
          <w:shd w:val="clear" w:color="auto" w:fill="auto"/>
        </w:tcPr>
        <w:p w:rsidR="005923DB" w:rsidRDefault="005923DB">
          <w:pPr>
            <w:pStyle w:val="TableSpace"/>
          </w:pPr>
        </w:p>
      </w:tc>
      <w:tc>
        <w:tcPr>
          <w:tcW w:w="3428" w:type="dxa"/>
        </w:tcPr>
        <w:p w:rsidR="005923DB" w:rsidRDefault="005923DB">
          <w:pPr>
            <w:pStyle w:val="TableSpace"/>
          </w:pPr>
        </w:p>
      </w:tc>
    </w:tr>
    <w:tr w:rsidR="005923DB" w:rsidTr="005923DB">
      <w:tc>
        <w:tcPr>
          <w:tcW w:w="6951" w:type="dxa"/>
        </w:tcPr>
        <w:p w:rsidR="005923DB" w:rsidRDefault="005923DB">
          <w:pPr>
            <w:pStyle w:val="Footer"/>
          </w:pPr>
        </w:p>
      </w:tc>
      <w:tc>
        <w:tcPr>
          <w:tcW w:w="421" w:type="dxa"/>
          <w:tcBorders>
            <w:top w:val="nil"/>
            <w:bottom w:val="nil"/>
          </w:tcBorders>
          <w:shd w:val="clear" w:color="auto" w:fill="auto"/>
        </w:tcPr>
        <w:p w:rsidR="005923DB" w:rsidRDefault="005923DB">
          <w:pPr>
            <w:pStyle w:val="Footer"/>
          </w:pPr>
        </w:p>
      </w:tc>
      <w:tc>
        <w:tcPr>
          <w:tcW w:w="3428" w:type="dxa"/>
        </w:tcPr>
        <w:p w:rsidR="005923DB" w:rsidRDefault="00804671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152C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152C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5923DB" w:rsidTr="005923DB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6951" w:type="dxa"/>
        </w:tcPr>
        <w:p w:rsidR="005923DB" w:rsidRDefault="005923DB">
          <w:pPr>
            <w:pStyle w:val="TableSpace"/>
          </w:pPr>
        </w:p>
      </w:tc>
      <w:tc>
        <w:tcPr>
          <w:tcW w:w="421" w:type="dxa"/>
          <w:tcBorders>
            <w:top w:val="nil"/>
            <w:bottom w:val="nil"/>
          </w:tcBorders>
          <w:shd w:val="clear" w:color="auto" w:fill="auto"/>
        </w:tcPr>
        <w:p w:rsidR="005923DB" w:rsidRDefault="005923DB">
          <w:pPr>
            <w:pStyle w:val="TableSpace"/>
          </w:pPr>
        </w:p>
      </w:tc>
      <w:tc>
        <w:tcPr>
          <w:tcW w:w="3428" w:type="dxa"/>
        </w:tcPr>
        <w:p w:rsidR="005923DB" w:rsidRDefault="005923DB">
          <w:pPr>
            <w:pStyle w:val="TableSpace"/>
          </w:pPr>
        </w:p>
      </w:tc>
    </w:tr>
  </w:tbl>
  <w:p w:rsidR="005923DB" w:rsidRDefault="005923DB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A" w:rsidRDefault="00AC362A">
      <w:pPr>
        <w:spacing w:before="0" w:after="0" w:line="240" w:lineRule="auto"/>
      </w:pPr>
      <w:r>
        <w:separator/>
      </w:r>
    </w:p>
  </w:footnote>
  <w:footnote w:type="continuationSeparator" w:id="0">
    <w:p w:rsidR="00AC362A" w:rsidRDefault="00AC36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44B"/>
    <w:multiLevelType w:val="hybridMultilevel"/>
    <w:tmpl w:val="176CE7E2"/>
    <w:lvl w:ilvl="0" w:tplc="6D640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2B92"/>
    <w:multiLevelType w:val="hybridMultilevel"/>
    <w:tmpl w:val="667E5C10"/>
    <w:lvl w:ilvl="0" w:tplc="6D640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77E"/>
    <w:multiLevelType w:val="hybridMultilevel"/>
    <w:tmpl w:val="939EAA40"/>
    <w:lvl w:ilvl="0" w:tplc="6D640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14690"/>
    <w:multiLevelType w:val="hybridMultilevel"/>
    <w:tmpl w:val="AE102C78"/>
    <w:lvl w:ilvl="0" w:tplc="6D64060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3AA1F48"/>
    <w:multiLevelType w:val="hybridMultilevel"/>
    <w:tmpl w:val="693EE3EE"/>
    <w:lvl w:ilvl="0" w:tplc="6D64060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efaultTableStyle w:val="Newsletter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B"/>
    <w:rsid w:val="000B2293"/>
    <w:rsid w:val="000E1DBE"/>
    <w:rsid w:val="0016010E"/>
    <w:rsid w:val="001A7318"/>
    <w:rsid w:val="003B3AF3"/>
    <w:rsid w:val="003D4854"/>
    <w:rsid w:val="004A2FEB"/>
    <w:rsid w:val="005923DB"/>
    <w:rsid w:val="006273BB"/>
    <w:rsid w:val="006F25E4"/>
    <w:rsid w:val="00804671"/>
    <w:rsid w:val="008812DD"/>
    <w:rsid w:val="008B2C33"/>
    <w:rsid w:val="009F1031"/>
    <w:rsid w:val="00A56FEA"/>
    <w:rsid w:val="00AA1955"/>
    <w:rsid w:val="00AC362A"/>
    <w:rsid w:val="00B152CB"/>
    <w:rsid w:val="00B97670"/>
    <w:rsid w:val="00C242BC"/>
    <w:rsid w:val="00C34B02"/>
    <w:rsid w:val="00C45DD9"/>
    <w:rsid w:val="00CC56A6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9CBF4-5C26-4F21-ABB4-B980AFB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  <w:szCs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semiHidden/>
    <w:qFormat/>
    <w:rsid w:val="0062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4C38-6AE5-4C29-B420-D6C8957B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17</cp:revision>
  <dcterms:created xsi:type="dcterms:W3CDTF">2018-06-15T16:01:00Z</dcterms:created>
  <dcterms:modified xsi:type="dcterms:W3CDTF">2018-06-15T17:55:00Z</dcterms:modified>
</cp:coreProperties>
</file>